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2650" w14:textId="3692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беретін ұйымдарға құжаттар қабылдау"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1 шілдедегі № 212 қаулысы. Ақтөбе облысының Әділет департаментінде 2014 жылғы 5 тамызда № 3980 болып тіркелді. Күші жойылды - Ақтөбе облысының әкімдігінің 2015 жылғы 29 мамырдағы № 181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29.05.2015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2013 жылғы 15 сәуірдегі "Мемлекеттік көрсетілетін қызметтер туралы" Заңы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31 мамырдағы № 599 "Техникалық және кәсіптік, орта білімнен кейінгі білім беретін ұйымдарға құжаттар қабылдау" мемлекеттік көрсетілетін қызмет стандартын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"Техникалық және кәсіптік,орта білімнен кейінгі білім беретін ұйымдарға құжаттар қабылдау"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"Ақтөбе облысының білім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01 шілдедегі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қаулысымен бекітілді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"Техникалық және кәсіптік, орта білімнен кейінгі білім беретін 
</w:t>
      </w:r>
      <w:r>
        <w:rPr>
          <w:rFonts w:ascii="Times New Roman"/>
          <w:b/>
          <w:i w:val="false"/>
          <w:color w:val="000000"/>
        </w:rPr>
        <w:t>
ұйымдарға құжаттар қабылдау" мемлекеттік көрсетілетін қызмет регламенті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"Техникалық және кәсіптік, орта білімнен кейінгі білім беретін ұйымдарға құжаттар қабылдау" мемлекеттік көрсетілетін қызмет (бұдан әрі – мемлекеттік көрсетілетін қызмет) техникалық және кәсіптік, орта білімнен кейінгі білім беру ұйымдарында (бұдан әрі -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қабылдау және мемлекеттік қызмет көрсету нәтижесінің берілуі техникалық және кәсіптік , орта білімнен кейін білім беру ұйымдарының базасында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 түрі : қағаз түрінде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 нәтижесі - Қазақстан Республикасы Үкіметінің 2014 жылғы 31 мамырдағы № 599 қаулысымен бекітілген "Техникалық және кәсіптік, орта білімнен кейінгі білім беретін ұйымдарға құжаттар қабылдау" мемлекеттік көрсетілетін қызметінің стандартының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- стандарт) құжаттар қабылдау туралы қолхат.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үдерісіндегі (өзара іс-қимыл) әрекет тәртібін сипаттау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Стандартқа сәйкес еркін нысандағы өтініш мемлекеттік қызметті көрсету жөніндегі рәсімді (әрекетінің) бастау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жөніндегі процестің құрамына кіретін әрбір рәсімнің (әрекеттің) мазмұны, оның орындалу ұзақтылығы: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қызмет алушы қызмет берушіге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құжаттармен қоса өтініш береді (15 минуттан артық емес);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қызмет берушінің жауапты орындаушысы құжаттарды қабылдауды, тексеруді жүзеге асырады. Құжаттар топтамасы толық болмаған жағдайда мемлекеттік қызмет көрсетуден бас тартылады (5 минуттан артық емес);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 "Оқуға түсушілер санын тіркеу кітабына" өтінішті тіркейді, оқуға түсушінің жеке іс қағазын қалыптастыра отырып құжаттарды тігеді және стандартқа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 қабылдау туралы қолхат береді (5 минуттан артық емес).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Қызмет берушінің мемлекеттік қызмет көрсету үдерісіндегі құрылымдық бөлімшелерінің (қызметкерлерінің) өзара іс-қимыл тәртібін сипаттау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
Қызмет берушінің мемлекеттік қызмет көрсету үдерісіне қатысатын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қызмет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Құрылымдық бөлімшелердің арасындағы рәсімдердің (әрекеттердің) реттілігін сипаттау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 кестемен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Қызмет берушінің мемлекеттік қызмет көрсету үдерісіндегі құрылымдық бөлімшелерінің (қызметкерлерінің) өзара іс-қимыл тәртібін жан-жақты сипаттау осы регламенттегі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бизнес үдерісінің анықтамалығында көрсетіледі. Мемлекеттік қызмет көрсету бизнес үдерісінің анықтамалығы қызмет берушінің интернет - 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беретін ұйымдарға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1- қосымша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 бөлімшелердің арасындағы рәсімдер (әрекеттер) реттілігі сипаттамасының блок кестесі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беретін ұйымдарға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2- қосымша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 беру ұйымдарына құжаттар қабылдау" мемлекеттік көрсетілетін қызмет бизнес үдерісінің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