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60ff" w14:textId="d036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Шетырғыз селолық округі әкімінің 2009 жылғы 13 наурыздағы № 4 "Көшелерге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ауданы Шетырғыз ауылдық округі әкімінің 2014 жылғы 24 қарашадағы № 06 шешімі. Ақтөбе облысының Әділет департаментінде 2014 жылғы 22 желтоқсанда № 4100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35 бабының</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Шетырғыз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Шетырғыз ауылдық округі әкімінің 2009 жылғы 13 наурыздағы № 4 «Көшелерге атау беру туралы» (нормативтік құқықтық актілерді мемлекеттік тіркеу тізілімінде № 3-13-101 болып тіркелген, 2009 жылғы 22 сәуірдегі «Шалқар»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шешім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сөзі «ауылдық»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Шетырғыз ауылдық округінің әкімі</w:t>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 Табынбеков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