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d05c" w14:textId="59fd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тіркелген салық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2014 жылғы 22 желтоқсандағы № 31-7 шешімі. Жамбыл облысының Әділет департаментінде 2015 жылғы 20 қаңтарда № 2466 болып тіркелді. Күші жойылды - Жамбыл облысы Мойынқұм аудандық мәслихатының 2018 жылғы 14 наурыздағы № 23-5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Мойынқұм аудандық мәслихатының 14.03.2018 </w:t>
      </w:r>
      <w:r>
        <w:rPr>
          <w:rFonts w:ascii="Times New Roman"/>
          <w:b w:val="false"/>
          <w:i w:val="false"/>
          <w:color w:val="ff0000"/>
          <w:sz w:val="28"/>
        </w:rPr>
        <w:t>№ 23-5</w:t>
      </w:r>
      <w:r>
        <w:rPr>
          <w:rFonts w:ascii="Times New Roman"/>
          <w:b w:val="false"/>
          <w:i w:val="false"/>
          <w:color w:val="ff0000"/>
          <w:sz w:val="28"/>
        </w:rPr>
        <w:t xml:space="preserve"> қаулысымен (алғашқы ресми жарияланғаннан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Ескерту. Барлық мәтін бойынша "ставкаларын", "ставкалары","ставкаларының" деген сөздер "мөлшерлемелерін", "мөлшерлемелері", "мөлшерлемелерінің" деген сөздермен ауыстырылды - Жамбыл облысы Мойынқұм аудандық мәслихатының 31.03.2015 </w:t>
      </w:r>
      <w:r>
        <w:rPr>
          <w:rFonts w:ascii="Times New Roman"/>
          <w:b w:val="false"/>
          <w:i w:val="false"/>
          <w:color w:val="ff0000"/>
          <w:sz w:val="28"/>
        </w:rPr>
        <w:t>№ 32-6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2008 жылғы 10 желтоқсандағы Кодесінің </w:t>
      </w:r>
      <w:r>
        <w:rPr>
          <w:rFonts w:ascii="Times New Roman"/>
          <w:b w:val="false"/>
          <w:i w:val="false"/>
          <w:color w:val="000000"/>
          <w:sz w:val="28"/>
        </w:rPr>
        <w:t>422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Мойынқұм ауданы аумағында қызметін жүзеге асыратын барлық салық төлеушілер үшін айына салық салу объектісінің бірлігіне бірыңғай тіркелген салықтың мөлшерлемелері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5" w:id="2"/>
    <w:p>
      <w:pPr>
        <w:spacing w:after="0"/>
        <w:ind w:left="0"/>
        <w:jc w:val="both"/>
      </w:pPr>
      <w:r>
        <w:rPr>
          <w:rFonts w:ascii="Times New Roman"/>
          <w:b w:val="false"/>
          <w:i w:val="false"/>
          <w:color w:val="000000"/>
          <w:sz w:val="28"/>
        </w:rPr>
        <w:t>
      2. Осы шешімнің орындалуын бақылау Мойынқұм ауданы мәслихатының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
    <w:bookmarkStart w:name="z6"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 Әбілов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31-7 шешіміне қосымша</w:t>
            </w:r>
          </w:p>
        </w:tc>
      </w:tr>
    </w:tbl>
    <w:bookmarkStart w:name="z9" w:id="4"/>
    <w:p>
      <w:pPr>
        <w:spacing w:after="0"/>
        <w:ind w:left="0"/>
        <w:jc w:val="left"/>
      </w:pPr>
      <w:r>
        <w:rPr>
          <w:rFonts w:ascii="Times New Roman"/>
          <w:b/>
          <w:i w:val="false"/>
          <w:color w:val="000000"/>
        </w:rPr>
        <w:t xml:space="preserve"> Мойынқұм ауданы аумағында қызметін жүзеге асыратын барлық салық төлеушілер үшін айына салық салу объектісінің бірлігіне бірыңғай тіркелген салықтың мөлшерлемелері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4426"/>
        <w:gridCol w:w="6372"/>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w:t>
            </w:r>
          </w:p>
          <w:bookmarkEnd w:id="5"/>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салық салу объектісінің бірлігіне бірыңғай тіркелген салықтың мөлшерлемелерінің (айлық есептік көрсеткіш)</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1</w:t>
            </w:r>
          </w:p>
          <w:bookmarkEnd w:id="6"/>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ойыншымен ойын өткізуге арналған, ұтыссыз ойын автоматы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2</w:t>
            </w:r>
          </w:p>
          <w:bookmarkEnd w:id="7"/>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Біреуден артық ойыншылардың қатысуымен ойын өткізуге арналған ұтыссыз ойын автоматы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3</w:t>
            </w:r>
          </w:p>
          <w:bookmarkEnd w:id="8"/>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өткізу үшін пайдаланатын дербес компьютер</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4</w:t>
            </w:r>
          </w:p>
          <w:bookmarkEnd w:id="9"/>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5</w:t>
            </w:r>
          </w:p>
          <w:bookmarkEnd w:id="10"/>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6</w:t>
            </w:r>
          </w:p>
          <w:bookmarkEnd w:id="11"/>
        </w:tc>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