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53e5" w14:textId="60d5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және жоғарғы білім берудің оқулық басылымдары бойынша авторларға және авторлар ұжымына сараптамалық қорытынды беру мәселелері бойынша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23 маусымдағы № 241 бұйрығы. Қазақстан Республикасы Әділет министрлігінде 2014 жылы 24 шілдеде № 9612 тіркелді. Күші жойылды - Қазақстан Республикасы Білім және ғылым министрінің 2015 жылғы 9 маусымдағы № 372 бұйрығымен</w:t>
      </w:r>
    </w:p>
    <w:p>
      <w:pPr>
        <w:spacing w:after="0"/>
        <w:ind w:left="0"/>
        <w:jc w:val="both"/>
      </w:pPr>
      <w:bookmarkStart w:name="z3" w:id="0"/>
      <w:r>
        <w:rPr>
          <w:rFonts w:ascii="Times New Roman"/>
          <w:b w:val="false"/>
          <w:i w:val="false"/>
          <w:color w:val="ff0000"/>
          <w:sz w:val="28"/>
        </w:rPr>
        <w:t xml:space="preserve">
      Ескерту. Күші жойылды - ҚР Білім және ғылым министрінің 09.06.2015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4"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2013 жылғы 15 сәуірдегі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1.Қоса беріліп отырған «Мектепке дейінгі, бастауыш, негізгі орта, жалпы орта, техникалық және кәсiптік және жоғарғы білім берудің оқулық басылымдары бойынша авторларға және авторлар ұжымына сараптамалық қорытынды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2.Мектепке дейінгі және орта білім, ақпараттық технологиялар департаменті (Ж.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Е. Иманғалиевқа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Сәрінжіпов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2014 жылғы 23 маусымдағы</w:t>
            </w:r>
            <w:r>
              <w:br/>
            </w:r>
            <w:r>
              <w:rPr>
                <w:rFonts w:ascii="Times New Roman"/>
                <w:b w:val="false"/>
                <w:i w:val="false"/>
                <w:color w:val="000000"/>
                <w:sz w:val="20"/>
              </w:rPr>
              <w:t>
№ 241 бұйрығымен бекітілген</w:t>
            </w:r>
          </w:p>
          <w:bookmarkEnd w:id="3"/>
        </w:tc>
      </w:tr>
    </w:tbl>
    <w:bookmarkStart w:name="z13" w:id="4"/>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сараптамалық қорытынды беру» мемлекеттік көрсетілетін қызмет</w:t>
      </w:r>
      <w:r>
        <w:br/>
      </w:r>
      <w:r>
        <w:rPr>
          <w:rFonts w:ascii="Times New Roman"/>
          <w:b/>
          <w:i w:val="false"/>
          <w:color w:val="000000"/>
        </w:rPr>
        <w:t>
регламенті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Мемлекеттік қызметті Қазақстан Республикасы Білім және ғылым министрлігі (бұдан әрі – көрсетілетін қызметті беруші) Қазақстан Республикасы Үкіметінің 2014 жылғы 23 мамырдағы № 538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сараптамалық қорытынды беру» мемлекеттік көрсетілетін қызмет стандарты (бұдан әрі – Стандарт) негізінде көрсетеді. </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нәтижесі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берілген сараптамалық қорытынды болып табылады.</w:t>
      </w:r>
      <w:r>
        <w:br/>
      </w:r>
      <w:r>
        <w:rPr>
          <w:rFonts w:ascii="Times New Roman"/>
          <w:b w:val="false"/>
          <w:i w:val="false"/>
          <w:color w:val="000000"/>
          <w:sz w:val="28"/>
        </w:rPr>
        <w:t>
 </w:t>
      </w:r>
    </w:p>
    <w:bookmarkEnd w:id="6"/>
    <w:bookmarkStart w:name="z18" w:id="7"/>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p>
    <w:bookmarkEnd w:id="7"/>
    <w:bookmarkStart w:name="z19" w:id="8"/>
    <w:p>
      <w:pPr>
        <w:spacing w:after="0"/>
        <w:ind w:left="0"/>
        <w:jc w:val="both"/>
      </w:pPr>
      <w:r>
        <w:rPr>
          <w:rFonts w:ascii="Times New Roman"/>
          <w:b w:val="false"/>
          <w:i w:val="false"/>
          <w:color w:val="000000"/>
          <w:sz w:val="28"/>
        </w:rPr>
        <w:t xml:space="preserve">
      Мемлекеттік қызмет көрсету бойынша рәсімді (іс-әрекетті) бастау үшін көрсетілетін қызметті алушының Стандарттың 9-тармағына сәйкес құжаттар топтамасын (бұдан әрі – құжаттар топтамасы) ұсынуы негіз болып табылады. </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процесінің құрамына кіретін әрбір рәсімнің (іс-әрекеттің) мазмұны:</w:t>
      </w:r>
      <w:r>
        <w:br/>
      </w:r>
      <w:r>
        <w:rPr>
          <w:rFonts w:ascii="Times New Roman"/>
          <w:b w:val="false"/>
          <w:i w:val="false"/>
          <w:color w:val="000000"/>
          <w:sz w:val="28"/>
        </w:rPr>
        <w:t>
</w:t>
      </w:r>
      <w:r>
        <w:rPr>
          <w:rFonts w:ascii="Times New Roman"/>
          <w:b w:val="false"/>
          <w:i w:val="false"/>
          <w:color w:val="000000"/>
          <w:sz w:val="28"/>
        </w:rPr>
        <w:t>
      1) Министрлік Кеңсесі құжаттар топтамасын қабылдайды және тіркейді және күнтізбелік 1 (бір) күн ішінде Департаментке жолдайды;</w:t>
      </w:r>
      <w:r>
        <w:br/>
      </w:r>
      <w:r>
        <w:rPr>
          <w:rFonts w:ascii="Times New Roman"/>
          <w:b w:val="false"/>
          <w:i w:val="false"/>
          <w:color w:val="000000"/>
          <w:sz w:val="28"/>
        </w:rPr>
        <w:t>
</w:t>
      </w:r>
      <w:r>
        <w:rPr>
          <w:rFonts w:ascii="Times New Roman"/>
          <w:b w:val="false"/>
          <w:i w:val="false"/>
          <w:color w:val="000000"/>
          <w:sz w:val="28"/>
        </w:rPr>
        <w:t xml:space="preserve">
      2) Департамент хатпен құжаттар топтамасын Орталыққа сараптамадан өткізуге жібереді (күнтізбелік 4 (төрт) күн ішінде); </w:t>
      </w:r>
      <w:r>
        <w:br/>
      </w:r>
      <w:r>
        <w:rPr>
          <w:rFonts w:ascii="Times New Roman"/>
          <w:b w:val="false"/>
          <w:i w:val="false"/>
          <w:color w:val="000000"/>
          <w:sz w:val="28"/>
        </w:rPr>
        <w:t>
</w:t>
      </w:r>
      <w:r>
        <w:rPr>
          <w:rFonts w:ascii="Times New Roman"/>
          <w:b w:val="false"/>
          <w:i w:val="false"/>
          <w:color w:val="000000"/>
          <w:sz w:val="28"/>
        </w:rPr>
        <w:t xml:space="preserve">
      3) Орталық мектепке дейінгі, бастауыш, негізгі орта, жалпы орта, техникалық және кәсіптік және жоғары білім берудің оқулық басылымдарына сараптама жүргізеді және сараптама қорытындысын Министрліктің Кеңсесіне жолдайды (күнтізбелік 47 (қырық жеті) күн ішінде); </w:t>
      </w:r>
      <w:r>
        <w:br/>
      </w:r>
      <w:r>
        <w:rPr>
          <w:rFonts w:ascii="Times New Roman"/>
          <w:b w:val="false"/>
          <w:i w:val="false"/>
          <w:color w:val="000000"/>
          <w:sz w:val="28"/>
        </w:rPr>
        <w:t>
</w:t>
      </w:r>
      <w:r>
        <w:rPr>
          <w:rFonts w:ascii="Times New Roman"/>
          <w:b w:val="false"/>
          <w:i w:val="false"/>
          <w:color w:val="000000"/>
          <w:sz w:val="28"/>
        </w:rPr>
        <w:t xml:space="preserve">
      4) Министрлік Кеңсесі авторларға және авторлар ұжымына жауап дайындау үшін сараптамалық қорытындыны Департаментке жолдайды (күнтізбелік 1 (бір) күн ішінде); </w:t>
      </w:r>
      <w:r>
        <w:br/>
      </w:r>
      <w:r>
        <w:rPr>
          <w:rFonts w:ascii="Times New Roman"/>
          <w:b w:val="false"/>
          <w:i w:val="false"/>
          <w:color w:val="000000"/>
          <w:sz w:val="28"/>
        </w:rPr>
        <w:t>
</w:t>
      </w:r>
      <w:r>
        <w:rPr>
          <w:rFonts w:ascii="Times New Roman"/>
          <w:b w:val="false"/>
          <w:i w:val="false"/>
          <w:color w:val="000000"/>
          <w:sz w:val="28"/>
        </w:rPr>
        <w:t>
      5) Департамент Орталық сараптамасының қорытындысы негізінде авторларға және авторлар ұжымына хат дайындайды, Департамент басшылығына қол қою үшін жолдайды (күнтізбелік 5 (бес) күн ішінде);</w:t>
      </w:r>
      <w:r>
        <w:br/>
      </w:r>
      <w:r>
        <w:rPr>
          <w:rFonts w:ascii="Times New Roman"/>
          <w:b w:val="false"/>
          <w:i w:val="false"/>
          <w:color w:val="000000"/>
          <w:sz w:val="28"/>
        </w:rPr>
        <w:t>
</w:t>
      </w:r>
      <w:r>
        <w:rPr>
          <w:rFonts w:ascii="Times New Roman"/>
          <w:b w:val="false"/>
          <w:i w:val="false"/>
          <w:color w:val="000000"/>
          <w:sz w:val="28"/>
        </w:rPr>
        <w:t>
      6) Департамент басшылығы көрсетілетін қызметті алушының сараптамалық қорытындысы туралы хатқа қол қояды (күнтізбелік 1 (бір) күн ішінде) және Министрлік Кеңсесіне жолдайды;</w:t>
      </w:r>
      <w:r>
        <w:br/>
      </w:r>
      <w:r>
        <w:rPr>
          <w:rFonts w:ascii="Times New Roman"/>
          <w:b w:val="false"/>
          <w:i w:val="false"/>
          <w:color w:val="000000"/>
          <w:sz w:val="28"/>
        </w:rPr>
        <w:t>
</w:t>
      </w:r>
      <w:r>
        <w:rPr>
          <w:rFonts w:ascii="Times New Roman"/>
          <w:b w:val="false"/>
          <w:i w:val="false"/>
          <w:color w:val="000000"/>
          <w:sz w:val="28"/>
        </w:rPr>
        <w:t>
      7) Министрлік Кеңсесі сараптамалық қорытынды туралы хатты күнтізбелік 1 (бір) күн ішінде көрсетілетін қызметті алушыға қолма-қол береді немесе поштамен жібереді.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бойынша әрбір рәсімнің (іс-әрекеттің) нәтижесі: </w:t>
      </w:r>
      <w:r>
        <w:br/>
      </w:r>
      <w:r>
        <w:rPr>
          <w:rFonts w:ascii="Times New Roman"/>
          <w:b w:val="false"/>
          <w:i w:val="false"/>
          <w:color w:val="000000"/>
          <w:sz w:val="28"/>
        </w:rPr>
        <w:t>
</w:t>
      </w:r>
      <w:r>
        <w:rPr>
          <w:rFonts w:ascii="Times New Roman"/>
          <w:b w:val="false"/>
          <w:i w:val="false"/>
          <w:color w:val="000000"/>
          <w:sz w:val="28"/>
        </w:rPr>
        <w:t>
      1 – Министрлік Кеңсесінің кіріс нөмірі;</w:t>
      </w:r>
      <w:r>
        <w:br/>
      </w:r>
      <w:r>
        <w:rPr>
          <w:rFonts w:ascii="Times New Roman"/>
          <w:b w:val="false"/>
          <w:i w:val="false"/>
          <w:color w:val="000000"/>
          <w:sz w:val="28"/>
        </w:rPr>
        <w:t>
</w:t>
      </w:r>
      <w:r>
        <w:rPr>
          <w:rFonts w:ascii="Times New Roman"/>
          <w:b w:val="false"/>
          <w:i w:val="false"/>
          <w:color w:val="000000"/>
          <w:sz w:val="28"/>
        </w:rPr>
        <w:t>
      2 – Департаменттің хаты;</w:t>
      </w:r>
      <w:r>
        <w:br/>
      </w:r>
      <w:r>
        <w:rPr>
          <w:rFonts w:ascii="Times New Roman"/>
          <w:b w:val="false"/>
          <w:i w:val="false"/>
          <w:color w:val="000000"/>
          <w:sz w:val="28"/>
        </w:rPr>
        <w:t>
</w:t>
      </w:r>
      <w:r>
        <w:rPr>
          <w:rFonts w:ascii="Times New Roman"/>
          <w:b w:val="false"/>
          <w:i w:val="false"/>
          <w:color w:val="000000"/>
          <w:sz w:val="28"/>
        </w:rPr>
        <w:t>
      3 – Орталықтың сараптамалық қорытындысы;</w:t>
      </w:r>
      <w:r>
        <w:br/>
      </w:r>
      <w:r>
        <w:rPr>
          <w:rFonts w:ascii="Times New Roman"/>
          <w:b w:val="false"/>
          <w:i w:val="false"/>
          <w:color w:val="000000"/>
          <w:sz w:val="28"/>
        </w:rPr>
        <w:t>
</w:t>
      </w:r>
      <w:r>
        <w:rPr>
          <w:rFonts w:ascii="Times New Roman"/>
          <w:b w:val="false"/>
          <w:i w:val="false"/>
          <w:color w:val="000000"/>
          <w:sz w:val="28"/>
        </w:rPr>
        <w:t>
      4 – Орталық хатына Министрлік Кеңсесінің кіріс нөмірі;</w:t>
      </w:r>
      <w:r>
        <w:br/>
      </w:r>
      <w:r>
        <w:rPr>
          <w:rFonts w:ascii="Times New Roman"/>
          <w:b w:val="false"/>
          <w:i w:val="false"/>
          <w:color w:val="000000"/>
          <w:sz w:val="28"/>
        </w:rPr>
        <w:t>
</w:t>
      </w:r>
      <w:r>
        <w:rPr>
          <w:rFonts w:ascii="Times New Roman"/>
          <w:b w:val="false"/>
          <w:i w:val="false"/>
          <w:color w:val="000000"/>
          <w:sz w:val="28"/>
        </w:rPr>
        <w:t>
      5 – Департаменттің хаты;</w:t>
      </w:r>
      <w:r>
        <w:br/>
      </w:r>
      <w:r>
        <w:rPr>
          <w:rFonts w:ascii="Times New Roman"/>
          <w:b w:val="false"/>
          <w:i w:val="false"/>
          <w:color w:val="000000"/>
          <w:sz w:val="28"/>
        </w:rPr>
        <w:t>
</w:t>
      </w:r>
      <w:r>
        <w:rPr>
          <w:rFonts w:ascii="Times New Roman"/>
          <w:b w:val="false"/>
          <w:i w:val="false"/>
          <w:color w:val="000000"/>
          <w:sz w:val="28"/>
        </w:rPr>
        <w:t xml:space="preserve">
      6 – Департамент Басшылығы қол қойған хат; </w:t>
      </w:r>
      <w:r>
        <w:br/>
      </w:r>
      <w:r>
        <w:rPr>
          <w:rFonts w:ascii="Times New Roman"/>
          <w:b w:val="false"/>
          <w:i w:val="false"/>
          <w:color w:val="000000"/>
          <w:sz w:val="28"/>
        </w:rPr>
        <w:t>
</w:t>
      </w:r>
      <w:r>
        <w:rPr>
          <w:rFonts w:ascii="Times New Roman"/>
          <w:b w:val="false"/>
          <w:i w:val="false"/>
          <w:color w:val="000000"/>
          <w:sz w:val="28"/>
        </w:rPr>
        <w:t>
      7 – Министрлік Кеңсесінің көрсетілетін қызметті берушіге хатты беруі.</w:t>
      </w:r>
      <w:r>
        <w:br/>
      </w:r>
      <w:r>
        <w:rPr>
          <w:rFonts w:ascii="Times New Roman"/>
          <w:b w:val="false"/>
          <w:i w:val="false"/>
          <w:color w:val="000000"/>
          <w:sz w:val="28"/>
        </w:rPr>
        <w:t>
 </w:t>
      </w:r>
    </w:p>
    <w:bookmarkEnd w:id="8"/>
    <w:bookmarkStart w:name="z36" w:id="9"/>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w:t>
      </w:r>
      <w:r>
        <w:br/>
      </w:r>
      <w:r>
        <w:rPr>
          <w:rFonts w:ascii="Times New Roman"/>
          <w:b/>
          <w:i w:val="false"/>
          <w:color w:val="000000"/>
        </w:rPr>
        <w:t>
мемлекеттік қызмет көрсету процесіндегі өзара</w:t>
      </w:r>
      <w:r>
        <w:br/>
      </w:r>
      <w:r>
        <w:rPr>
          <w:rFonts w:ascii="Times New Roman"/>
          <w:b/>
          <w:i w:val="false"/>
          <w:color w:val="000000"/>
        </w:rPr>
        <w:t>
іс-қимыл жүргізу тәртібінің сипаттамасы</w:t>
      </w:r>
    </w:p>
    <w:bookmarkEnd w:id="9"/>
    <w:bookmarkStart w:name="z38" w:id="10"/>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мынадай бөлімшелері қатысады:</w:t>
      </w:r>
      <w:r>
        <w:br/>
      </w:r>
      <w:r>
        <w:rPr>
          <w:rFonts w:ascii="Times New Roman"/>
          <w:b w:val="false"/>
          <w:i w:val="false"/>
          <w:color w:val="000000"/>
          <w:sz w:val="28"/>
        </w:rPr>
        <w:t>
</w:t>
      </w:r>
      <w:r>
        <w:rPr>
          <w:rFonts w:ascii="Times New Roman"/>
          <w:b w:val="false"/>
          <w:i w:val="false"/>
          <w:color w:val="000000"/>
          <w:sz w:val="28"/>
        </w:rPr>
        <w:t>
      Министрлік Кеңсесі;</w:t>
      </w:r>
      <w:r>
        <w:br/>
      </w:r>
      <w:r>
        <w:rPr>
          <w:rFonts w:ascii="Times New Roman"/>
          <w:b w:val="false"/>
          <w:i w:val="false"/>
          <w:color w:val="000000"/>
          <w:sz w:val="28"/>
        </w:rPr>
        <w:t>
</w:t>
      </w:r>
      <w:r>
        <w:rPr>
          <w:rFonts w:ascii="Times New Roman"/>
          <w:b w:val="false"/>
          <w:i w:val="false"/>
          <w:color w:val="000000"/>
          <w:sz w:val="28"/>
        </w:rPr>
        <w:t>
      Департамент;</w:t>
      </w:r>
      <w:r>
        <w:br/>
      </w:r>
      <w:r>
        <w:rPr>
          <w:rFonts w:ascii="Times New Roman"/>
          <w:b w:val="false"/>
          <w:i w:val="false"/>
          <w:color w:val="000000"/>
          <w:sz w:val="28"/>
        </w:rPr>
        <w:t>
</w:t>
      </w:r>
      <w:r>
        <w:rPr>
          <w:rFonts w:ascii="Times New Roman"/>
          <w:b w:val="false"/>
          <w:i w:val="false"/>
          <w:color w:val="000000"/>
          <w:sz w:val="28"/>
        </w:rPr>
        <w:t>
      Орталық;</w:t>
      </w:r>
      <w:r>
        <w:br/>
      </w:r>
      <w:r>
        <w:rPr>
          <w:rFonts w:ascii="Times New Roman"/>
          <w:b w:val="false"/>
          <w:i w:val="false"/>
          <w:color w:val="000000"/>
          <w:sz w:val="28"/>
        </w:rPr>
        <w:t>
</w:t>
      </w:r>
      <w:r>
        <w:rPr>
          <w:rFonts w:ascii="Times New Roman"/>
          <w:b w:val="false"/>
          <w:i w:val="false"/>
          <w:color w:val="000000"/>
          <w:sz w:val="28"/>
        </w:rPr>
        <w:t xml:space="preserve">
      Департамент басшылығы. </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 (іс-әрекеттер) реттілігінің сипаттамасы.</w:t>
      </w:r>
      <w:r>
        <w:br/>
      </w:r>
      <w:r>
        <w:rPr>
          <w:rFonts w:ascii="Times New Roman"/>
          <w:b w:val="false"/>
          <w:i w:val="false"/>
          <w:color w:val="000000"/>
          <w:sz w:val="28"/>
        </w:rPr>
        <w:t>
</w:t>
      </w:r>
      <w:r>
        <w:rPr>
          <w:rFonts w:ascii="Times New Roman"/>
          <w:b w:val="false"/>
          <w:i w:val="false"/>
          <w:color w:val="000000"/>
          <w:sz w:val="28"/>
        </w:rPr>
        <w:t>
      1) Министрлік Кеңсесі құжаттар топтамасын қабылдайды және тіркейді және күнтізбелік 1 (бір) күн ішінде Департаментке жолдайды;</w:t>
      </w:r>
      <w:r>
        <w:br/>
      </w:r>
      <w:r>
        <w:rPr>
          <w:rFonts w:ascii="Times New Roman"/>
          <w:b w:val="false"/>
          <w:i w:val="false"/>
          <w:color w:val="000000"/>
          <w:sz w:val="28"/>
        </w:rPr>
        <w:t>
</w:t>
      </w:r>
      <w:r>
        <w:rPr>
          <w:rFonts w:ascii="Times New Roman"/>
          <w:b w:val="false"/>
          <w:i w:val="false"/>
          <w:color w:val="000000"/>
          <w:sz w:val="28"/>
        </w:rPr>
        <w:t xml:space="preserve">
      2) Департамент хатпен құжаттар топтамасын Орталыққа сараптамадан өткізуге жібереді (күнтізбелік 4 (төрт) күн ішінде); </w:t>
      </w:r>
      <w:r>
        <w:br/>
      </w:r>
      <w:r>
        <w:rPr>
          <w:rFonts w:ascii="Times New Roman"/>
          <w:b w:val="false"/>
          <w:i w:val="false"/>
          <w:color w:val="000000"/>
          <w:sz w:val="28"/>
        </w:rPr>
        <w:t>
</w:t>
      </w:r>
      <w:r>
        <w:rPr>
          <w:rFonts w:ascii="Times New Roman"/>
          <w:b w:val="false"/>
          <w:i w:val="false"/>
          <w:color w:val="000000"/>
          <w:sz w:val="28"/>
        </w:rPr>
        <w:t xml:space="preserve">
      3) Орталық мектепке дейінгі, бастауыш, негізгі орта, жалпы орта, техникалық және кәсіптік және жоғары білім берудің оқулық басылымдарына сараптама жүргізеді және сараптама қорытындысын Министрліктің Кеңсесіне жолдайды (күнтізбелік 47 (қырық жеті) күн ішінде); </w:t>
      </w:r>
      <w:r>
        <w:br/>
      </w:r>
      <w:r>
        <w:rPr>
          <w:rFonts w:ascii="Times New Roman"/>
          <w:b w:val="false"/>
          <w:i w:val="false"/>
          <w:color w:val="000000"/>
          <w:sz w:val="28"/>
        </w:rPr>
        <w:t>
</w:t>
      </w:r>
      <w:r>
        <w:rPr>
          <w:rFonts w:ascii="Times New Roman"/>
          <w:b w:val="false"/>
          <w:i w:val="false"/>
          <w:color w:val="000000"/>
          <w:sz w:val="28"/>
        </w:rPr>
        <w:t xml:space="preserve">
      4) Министрлік Кеңсесі авторларға және авторлар ұжымына жауап дайындау үшін сараптамалық қорытындыны Департаментке жолдайды (күнтізбелік 1 (бір) күн ішінде); </w:t>
      </w:r>
      <w:r>
        <w:br/>
      </w:r>
      <w:r>
        <w:rPr>
          <w:rFonts w:ascii="Times New Roman"/>
          <w:b w:val="false"/>
          <w:i w:val="false"/>
          <w:color w:val="000000"/>
          <w:sz w:val="28"/>
        </w:rPr>
        <w:t>
</w:t>
      </w:r>
      <w:r>
        <w:rPr>
          <w:rFonts w:ascii="Times New Roman"/>
          <w:b w:val="false"/>
          <w:i w:val="false"/>
          <w:color w:val="000000"/>
          <w:sz w:val="28"/>
        </w:rPr>
        <w:t>
      5) Департамент Орталық сараптамасының қорытындысы негізінде авторларға және авторлар ұжымына хат дайындайды, Департамент басшылығына қол қою үшін жолдайды (күнтізбелік 5 (бес) күн ішінде);</w:t>
      </w:r>
      <w:r>
        <w:br/>
      </w:r>
      <w:r>
        <w:rPr>
          <w:rFonts w:ascii="Times New Roman"/>
          <w:b w:val="false"/>
          <w:i w:val="false"/>
          <w:color w:val="000000"/>
          <w:sz w:val="28"/>
        </w:rPr>
        <w:t>
</w:t>
      </w:r>
      <w:r>
        <w:rPr>
          <w:rFonts w:ascii="Times New Roman"/>
          <w:b w:val="false"/>
          <w:i w:val="false"/>
          <w:color w:val="000000"/>
          <w:sz w:val="28"/>
        </w:rPr>
        <w:t>
      6) Департамент басшылығы көрсетілетін қызметті алушының сараптамалық қорытындысы туралы хатқа қол қояды (күнтізбелік 1 (бір) күн ішінде) және Министрлік Кеңсесіне жолдайды;</w:t>
      </w:r>
      <w:r>
        <w:br/>
      </w:r>
      <w:r>
        <w:rPr>
          <w:rFonts w:ascii="Times New Roman"/>
          <w:b w:val="false"/>
          <w:i w:val="false"/>
          <w:color w:val="000000"/>
          <w:sz w:val="28"/>
        </w:rPr>
        <w:t>
</w:t>
      </w:r>
      <w:r>
        <w:rPr>
          <w:rFonts w:ascii="Times New Roman"/>
          <w:b w:val="false"/>
          <w:i w:val="false"/>
          <w:color w:val="000000"/>
          <w:sz w:val="28"/>
        </w:rPr>
        <w:t>
      7) Министрлік Кеңсесі сараптамалық қорытынды туралы хатты күнтізбелік 1 (бір) күн ішінде көрсетілетін қызметті алушыға қолма-қол береді немесе поштамен жібереді.</w:t>
      </w:r>
      <w:r>
        <w:br/>
      </w:r>
      <w:r>
        <w:rPr>
          <w:rFonts w:ascii="Times New Roman"/>
          <w:b w:val="false"/>
          <w:i w:val="false"/>
          <w:color w:val="000000"/>
          <w:sz w:val="28"/>
        </w:rPr>
        <w:t>
</w:t>
      </w:r>
      <w:r>
        <w:rPr>
          <w:rFonts w:ascii="Times New Roman"/>
          <w:b w:val="false"/>
          <w:i w:val="false"/>
          <w:color w:val="000000"/>
          <w:sz w:val="28"/>
        </w:rPr>
        <w:t>
      8. Құрылымдық бөлімшелердің (қызметкерлердің) арасындағы рәсімдер (іс-әрекеттер) реттілігінің сипаттамасы көрсетілетін қызметті берушінің (қызметкерлердің) құрылымдық бөлімшелерінің өзара іс-қимылының блок-схемасында Қазақстан Республикасы Білім және ғылым министрінің 2014 жылғы 23 маусымдағы № 241 бұйрығымен бекітілген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сараптамалық қорытынды беру» (бұдан әрі – Регламент)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r>
        <w:br/>
      </w:r>
      <w:r>
        <w:rPr>
          <w:rFonts w:ascii="Times New Roman"/>
          <w:b w:val="false"/>
          <w:i w:val="false"/>
          <w:color w:val="000000"/>
          <w:sz w:val="28"/>
        </w:rPr>
        <w:t>
 </w:t>
      </w:r>
    </w:p>
    <w:bookmarkEnd w:id="10"/>
    <w:bookmarkStart w:name="z52" w:id="11"/>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жүргізу, сондай-ақ ақпараттық жүйелерді пайдалану тәртібінің сипаттамасы</w:t>
      </w:r>
    </w:p>
    <w:bookmarkEnd w:id="11"/>
    <w:bookmarkStart w:name="z53" w:id="12"/>
    <w:p>
      <w:pPr>
        <w:spacing w:after="0"/>
        <w:ind w:left="0"/>
        <w:jc w:val="both"/>
      </w:pPr>
      <w:r>
        <w:rPr>
          <w:rFonts w:ascii="Times New Roman"/>
          <w:b w:val="false"/>
          <w:i w:val="false"/>
          <w:color w:val="000000"/>
          <w:sz w:val="28"/>
        </w:rPr>
        <w:t>
      9. Мемлекеттік қызметті көрсету процесінде халыққа қызмет көрсету орталығымен және (немесе) өзге де көрсетілетін қызметті берушілермен өзара іс-қимыл жүргізу, сондай-ақ ақпараттық жүйелерді пайдалану Стандартта қарастырылмаған.</w:t>
      </w:r>
      <w:r>
        <w:br/>
      </w:r>
      <w:r>
        <w:rPr>
          <w:rFonts w:ascii="Times New Roman"/>
          <w:b w:val="false"/>
          <w:i w:val="false"/>
          <w:color w:val="000000"/>
          <w:sz w:val="28"/>
        </w:rPr>
        <w:t>
</w:t>
      </w:r>
      <w:r>
        <w:rPr>
          <w:rFonts w:ascii="Times New Roman"/>
          <w:b w:val="false"/>
          <w:i w:val="false"/>
          <w:color w:val="000000"/>
          <w:sz w:val="28"/>
        </w:rPr>
        <w:t>
      10. Рәсімдер (іс-әрекеттер) реттілігінің, мемлекеттік қызметті көрсету процесінде көрсетілетін толық сипаттамасы қызметті берушінің құрылымдық бөлімшелерінің (қызметкерлердің) өзара іс-қимылының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көрсетілген.</w:t>
      </w:r>
    </w:p>
    <w:bookmarkEnd w:id="12"/>
    <w:bookmarkStart w:name="z5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«Мектепке дейінгі, бастауыш,</w:t>
      </w:r>
      <w:r>
        <w:br/>
      </w:r>
      <w:r>
        <w:rPr>
          <w:rFonts w:ascii="Times New Roman"/>
          <w:b w:val="false"/>
          <w:i w:val="false"/>
          <w:color w:val="000000"/>
          <w:sz w:val="28"/>
        </w:rPr>
        <w:t>
негізгі орта, жалпы орта,</w:t>
      </w:r>
      <w:r>
        <w:br/>
      </w:r>
      <w:r>
        <w:rPr>
          <w:rFonts w:ascii="Times New Roman"/>
          <w:b w:val="false"/>
          <w:i w:val="false"/>
          <w:color w:val="000000"/>
          <w:sz w:val="28"/>
        </w:rPr>
        <w:t>
техникалық және кәсiптік және</w:t>
      </w:r>
      <w:r>
        <w:br/>
      </w:r>
      <w:r>
        <w:rPr>
          <w:rFonts w:ascii="Times New Roman"/>
          <w:b w:val="false"/>
          <w:i w:val="false"/>
          <w:color w:val="000000"/>
          <w:sz w:val="28"/>
        </w:rPr>
        <w:t>
жоғары білім беру оқулық</w:t>
      </w:r>
      <w:r>
        <w:br/>
      </w:r>
      <w:r>
        <w:rPr>
          <w:rFonts w:ascii="Times New Roman"/>
          <w:b w:val="false"/>
          <w:i w:val="false"/>
          <w:color w:val="000000"/>
          <w:sz w:val="28"/>
        </w:rPr>
        <w:t>
басылымдары бойынша</w:t>
      </w:r>
      <w:r>
        <w:br/>
      </w:r>
      <w:r>
        <w:rPr>
          <w:rFonts w:ascii="Times New Roman"/>
          <w:b w:val="false"/>
          <w:i w:val="false"/>
          <w:color w:val="000000"/>
          <w:sz w:val="28"/>
        </w:rPr>
        <w:t>
авторларға және авторлар</w:t>
      </w:r>
      <w:r>
        <w:br/>
      </w:r>
      <w:r>
        <w:rPr>
          <w:rFonts w:ascii="Times New Roman"/>
          <w:b w:val="false"/>
          <w:i w:val="false"/>
          <w:color w:val="000000"/>
          <w:sz w:val="28"/>
        </w:rPr>
        <w:t>
ұжымына сараптамалық</w:t>
      </w:r>
      <w:r>
        <w:br/>
      </w:r>
      <w:r>
        <w:rPr>
          <w:rFonts w:ascii="Times New Roman"/>
          <w:b w:val="false"/>
          <w:i w:val="false"/>
          <w:color w:val="000000"/>
          <w:sz w:val="28"/>
        </w:rPr>
        <w:t>
қорытынды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1-қосымша</w:t>
      </w:r>
      <w:r>
        <w:br/>
      </w:r>
      <w:r>
        <w:rPr>
          <w:rFonts w:ascii="Times New Roman"/>
          <w:b w:val="false"/>
          <w:i w:val="false"/>
          <w:color w:val="000000"/>
          <w:sz w:val="28"/>
        </w:rPr>
        <w:t>
 </w:t>
      </w:r>
    </w:p>
    <w:bookmarkEnd w:id="13"/>
    <w:bookmarkStart w:name="z56" w:id="14"/>
    <w:p>
      <w:pPr>
        <w:spacing w:after="0"/>
        <w:ind w:left="0"/>
        <w:jc w:val="left"/>
      </w:pPr>
      <w:r>
        <w:rPr>
          <w:rFonts w:ascii="Times New Roman"/>
          <w:b/>
          <w:i w:val="false"/>
          <w:color w:val="000000"/>
        </w:rPr>
        <w:t xml:space="preserve"> 
Көрсетілетін қызметті берушінің (қызметкерлердің) құрылымдық бөлімшелерінің</w:t>
      </w:r>
      <w:r>
        <w:br/>
      </w:r>
      <w:r>
        <w:rPr>
          <w:rFonts w:ascii="Times New Roman"/>
          <w:b/>
          <w:i w:val="false"/>
          <w:color w:val="000000"/>
        </w:rPr>
        <w:t>
(қызметкерлердің) өзара іс-қимылының блок-схемасы</w:t>
      </w:r>
    </w:p>
    <w:bookmarkEnd w:id="14"/>
    <w:bookmarkStart w:name="z57" w:id="15"/>
    <w:p>
      <w:pPr>
        <w:spacing w:after="0"/>
        <w:ind w:left="0"/>
        <w:jc w:val="both"/>
      </w:pPr>
      <w:r>
        <w:rPr>
          <w:rFonts w:ascii="Times New Roman"/>
          <w:b w:val="false"/>
          <w:i w:val="false"/>
          <w:color w:val="000000"/>
          <w:sz w:val="28"/>
        </w:rPr>
        <w:t>
</w:t>
      </w: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019300"/>
                    </a:xfrm>
                    <a:prstGeom prst="rect">
                      <a:avLst/>
                    </a:prstGeom>
                  </pic:spPr>
                </pic:pic>
              </a:graphicData>
            </a:graphic>
          </wp:inline>
        </w:drawing>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16"/>
          <w:p>
            <w:pPr>
              <w:spacing w:after="20"/>
              <w:ind w:left="20"/>
              <w:jc w:val="both"/>
            </w:pPr>
            <w:r>
              <w:rPr>
                <w:rFonts w:ascii="Times New Roman"/>
                <w:b w:val="false"/>
                <w:i w:val="false"/>
                <w:color w:val="000000"/>
                <w:sz w:val="20"/>
              </w:rPr>
              <w:t>
Мектепке дейінгі, бастауыш,</w:t>
            </w:r>
            <w:r>
              <w:br/>
            </w:r>
            <w:r>
              <w:rPr>
                <w:rFonts w:ascii="Times New Roman"/>
                <w:b w:val="false"/>
                <w:i w:val="false"/>
                <w:color w:val="000000"/>
                <w:sz w:val="20"/>
              </w:rPr>
              <w:t>
негізгі орта, жалпы орта,</w:t>
            </w:r>
            <w:r>
              <w:br/>
            </w:r>
            <w:r>
              <w:rPr>
                <w:rFonts w:ascii="Times New Roman"/>
                <w:b w:val="false"/>
                <w:i w:val="false"/>
                <w:color w:val="000000"/>
                <w:sz w:val="20"/>
              </w:rPr>
              <w:t>
техникалық және кәсiптік және</w:t>
            </w:r>
            <w:r>
              <w:br/>
            </w:r>
            <w:r>
              <w:rPr>
                <w:rFonts w:ascii="Times New Roman"/>
                <w:b w:val="false"/>
                <w:i w:val="false"/>
                <w:color w:val="000000"/>
                <w:sz w:val="20"/>
              </w:rPr>
              <w:t>
жоғары білім беру</w:t>
            </w:r>
            <w:r>
              <w:br/>
            </w:r>
            <w:r>
              <w:rPr>
                <w:rFonts w:ascii="Times New Roman"/>
                <w:b w:val="false"/>
                <w:i w:val="false"/>
                <w:color w:val="000000"/>
                <w:sz w:val="20"/>
              </w:rPr>
              <w:t>
оқулық басылымдары бойынша</w:t>
            </w:r>
            <w:r>
              <w:br/>
            </w:r>
            <w:r>
              <w:rPr>
                <w:rFonts w:ascii="Times New Roman"/>
                <w:b w:val="false"/>
                <w:i w:val="false"/>
                <w:color w:val="000000"/>
                <w:sz w:val="20"/>
              </w:rPr>
              <w:t>
авторларға және авторлар</w:t>
            </w:r>
            <w:r>
              <w:br/>
            </w:r>
            <w:r>
              <w:rPr>
                <w:rFonts w:ascii="Times New Roman"/>
                <w:b w:val="false"/>
                <w:i w:val="false"/>
                <w:color w:val="000000"/>
                <w:sz w:val="20"/>
              </w:rPr>
              <w:t>
ұжымына сараптамалық</w:t>
            </w:r>
            <w:r>
              <w:br/>
            </w:r>
            <w:r>
              <w:rPr>
                <w:rFonts w:ascii="Times New Roman"/>
                <w:b w:val="false"/>
                <w:i w:val="false"/>
                <w:color w:val="000000"/>
                <w:sz w:val="20"/>
              </w:rPr>
              <w:t>
қорытынды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16"/>
        </w:tc>
      </w:tr>
    </w:tbl>
    <w:bookmarkStart w:name="z59" w:id="17"/>
    <w:p>
      <w:pPr>
        <w:spacing w:after="0"/>
        <w:ind w:left="0"/>
        <w:jc w:val="left"/>
      </w:pPr>
      <w:r>
        <w:rPr>
          <w:rFonts w:ascii="Times New Roman"/>
          <w:b/>
          <w:i w:val="false"/>
          <w:color w:val="000000"/>
        </w:rPr>
        <w:t xml:space="preserve"> 
Мемлекеттік қызмет көрсету бизнес-процестерінің анықтамалығы</w:t>
      </w:r>
      <w:r>
        <w:br/>
      </w:r>
      <w:r>
        <w:rPr>
          <w:rFonts w:ascii="Times New Roman"/>
          <w:b/>
          <w:i w:val="false"/>
          <w:color w:val="000000"/>
        </w:rPr>
        <w:t>
</w:t>
      </w:r>
      <w:r>
        <w:rPr>
          <w:rFonts w:ascii="Times New Roman"/>
          <w:b/>
          <w:i w:val="false"/>
          <w:color w:val="000000"/>
        </w:rPr>
        <w:t>
«Мектепке дейінгі, бастауыш, негізгі орта, жалпы орта, техникалық және кәсiптік жоғары білім беру оқулық басылымдары бойынша авторларға және авторлар ұжымына сараптамалық қорытынды беру»</w:t>
      </w:r>
      <w:r>
        <w:br/>
      </w:r>
      <w:r>
        <w:rPr>
          <w:rFonts w:ascii="Times New Roman"/>
          <w:b/>
          <w:i w:val="false"/>
          <w:color w:val="000000"/>
        </w:rPr>
        <w:t>
(мемлекеттік қызмет атауы)</w:t>
      </w:r>
    </w:p>
    <w:bookmarkEnd w:id="17"/>
    <w:bookmarkStart w:name="z61" w:id="18"/>
    <w:p>
      <w:pPr>
        <w:spacing w:after="0"/>
        <w:ind w:left="0"/>
        <w:jc w:val="both"/>
      </w:pPr>
      <w:r>
        <w:rPr>
          <w:rFonts w:ascii="Times New Roman"/>
          <w:b w:val="false"/>
          <w:i w:val="false"/>
          <w:color w:val="000000"/>
          <w:sz w:val="28"/>
        </w:rPr>
        <w:t>
</w:t>
      </w: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41700"/>
                    </a:xfrm>
                    <a:prstGeom prst="rect">
                      <a:avLst/>
                    </a:prstGeom>
                  </pic:spPr>
                </pic:pic>
              </a:graphicData>
            </a:graphic>
          </wp:inline>
        </w:drawing>
      </w:r>
      <w:r>
        <w:br/>
      </w:r>
      <w:r>
        <w:rPr>
          <w:rFonts w:ascii="Times New Roman"/>
          <w:b w:val="false"/>
          <w:i w:val="false"/>
          <w:color w:val="000000"/>
          <w:sz w:val="28"/>
        </w:rPr>
        <w:t>
 </w:t>
      </w:r>
    </w:p>
    <w:bookmarkEnd w:id="18"/>
    <w:bookmarkStart w:name="z62" w:id="19"/>
    <w:p>
      <w:pPr>
        <w:spacing w:after="0"/>
        <w:ind w:left="0"/>
        <w:jc w:val="both"/>
      </w:pPr>
      <w:r>
        <w:rPr>
          <w:rFonts w:ascii="Times New Roman"/>
          <w:b w:val="false"/>
          <w:i w:val="false"/>
          <w:color w:val="000000"/>
          <w:sz w:val="28"/>
        </w:rPr>
        <w:t>
</w:t>
      </w: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14500"/>
                    </a:xfrm>
                    <a:prstGeom prst="rect">
                      <a:avLst/>
                    </a:prstGeom>
                  </pic:spPr>
                </pic:pic>
              </a:graphicData>
            </a:graphic>
          </wp:inline>
        </w:drawing>
      </w:r>
      <w:r>
        <w:br/>
      </w:r>
      <w:r>
        <w:rPr>
          <w:rFonts w:ascii="Times New Roman"/>
          <w:b w:val="false"/>
          <w:i w:val="false"/>
          <w:color w:val="000000"/>
          <w:sz w:val="28"/>
        </w:rPr>
        <w:t>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