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6867" w14:textId="a5f6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13 сессиясының 2012 жылғы 12 қарашадағы № 129 "Әлеуметтік қамсыздандыру, білім беру, мәдениет және спорт мемлекеттік ұйымдарының ауылдық елді мекендерде тұратын және жұмыс істейтін мамандарына отын сатып алуға әлеуметтік көмек беру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2014 жылғы 25 қарашадағы 32 сессиясының № 338 шешімі. Қарағанды облысының Әділет департаментінде 2014 жылғы 22 желтоқсанда № 2887 болып тіркелді. Күші жойылды - Қарағанды облысы Нұра аудандық мәслихатының 2021 жылғы 19 ақпандағы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19.02.2021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13 сессиясының 2012 жылғы 12 қарашадағы № 129 "Әлеуметтік қамсыздандыру, білім беру, мәдениет және спорт мемлекеттік ұйымдарының ауылдық елді мекендерде тұратын және жұмыс істейтін мамандарына отын сатып алуға әлеуметтік көмек беру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1994 болып тіркелген, 2012 жылғы 1 желтоқсандағы № 47 (5280) "Нұра" газетінде жарияланған) келесі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Нұра ауданының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жылына </w:t>
      </w:r>
      <w:r>
        <w:rPr>
          <w:rFonts w:ascii="Times New Roman"/>
          <w:b w:val="false"/>
          <w:i w:val="false"/>
          <w:color w:val="000000"/>
          <w:sz w:val="28"/>
        </w:rPr>
        <w:t>бір рет жергілікті бюджет қаражаты есебінен 3000 (үш мың) теңге мөлшерінде әлеуметтік көмек берілсін.".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шағын және орта кәсіпкерлікті дамыту бойынша тұрақты комиссиясына (Н. Сүлейменов)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оның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"Нұра ауданының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әлеуметтік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Г. Жүпенова 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қараша 2014 жыл 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