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61f1" w14:textId="9b16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қағидасын бекіту туралы" Жалағаш аудандық мәслихатының 2013 жылғы 14 тамыздағы N 23-3 шешіміне озгеріс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23 қаңтардағы N 28-4 шешімі. Қызылорда облысының Әділет департаментінде 2014 жылғы 10 ақпанда N 4590 тіркелді. Күші жойылды - Қызылорда облысы Жалағаш аудандық мәслихатының 2014 жылғы 09 сәуірдегі N 30-7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аудандық мәслихатының 09.04.2014 N 30-7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көмек көрсету, оның мөлшерлерін белгілеу және мұқтаж азаматтардың жекелеген санаттарының тізбесін айқындау қағидасын бекіту туралы" Жалағаш аудандық мәслихатының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N 23-3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4510 болып тіркелген, 2013 жылғы 18 қыркүйектегі "Жалағаш жаршысы"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негізгі түрінің 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мүгедектердi әлеуметтiк қорғау туралы"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N 504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XХVІІІ сессиясының төрағасы                 Ә. БЕКЖАНОВ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Жалағаш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 К. СҮЛЕЙМЕНОВ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