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7fa2" w14:textId="5607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ауданының бөлек жергілікті қоғамдастық жиындарын өткізудің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10 сәуірдегі N 222 шешімі. Қызылорда облысының Әділет департаментінде 2014 жылғы 06 мамырда N 4658 тіркелді. Күші жойылды - Қызылорда облысы Сырдария аудандық мәслихатының 2023 жылғы 27 желтоқсандағы № 78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өзі басқару туралы" 2001 жылғы 23 қаңтардағы Қазақстан Республикасының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N 1106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қағидаларына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Сырдария ауданының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 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шешімімен бекітілген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ауданында жергілікті қоғамдастықтың бөлек жиындарын өткізу қағидалары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Қызылорда облысы Сырдария аудандық мәслихатының 29.12.2021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енгiзiледi).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Сырдария ауданында жергілікті қоғамдастықтың бөлек жиындарын өткізу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Жергілікті қоғамдастықтың бөлек жиындарын өткізудің үлгі қағидаларына сәйкес әзірленді және ауыл, кент, ауылдық округ, шағын аудан, көше, көппәтерлі тұрғын үй тұрғындарының жергілікті қоғамдастығының бөлек жиындарын өткізу тәртібін белгілейді.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 тәртібі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ауылдың, кенттің, ауылдық округтің аумағы учаскелерге (ауылдар, шағын аудандар, көшелер, көппәтерлі тұрғын үйлер) бөлінеді.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ауылдың, кенттің және ауылдық округтің әкімі шақырады және ұйымдастырады.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ауыл, кент және ауылдық округ әкімі бұқаралық ақпарат құралдарына немесе мемлекеттік органның интернет-ресурсында, сондай-ақ ауыл, кент және ауылдық округ әкімі аппаратының ақпараттық қабырғаларына және баршаға көрінетін жерлерге орналастыру арқылы олар өткізілетін күнге дейін күнтізбелік он күннен кешіктірмей хабарлайды.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шағын аудан, көше, көппәтерлі тұрғын үй шегінде бөлек жергілікті қоғамдастық жиынын өткізуді ауыл, кент және ауылдық округ әкімі ұйымдастырады.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шағын ауданның, көшенің, көппәтерлі тұрғын үйдің қатысып отырған, оған қатысуға құқығы бар тұрғындарын тіркеу жүргізіледі.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шағын ауданда,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ауыл, кент, ауылдық округ әкімі немесе ол уәкілеттік берген тұлға ашады.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шағын аудан, көше,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ауыл, кент және ауылдық округ әкімінің аппаратына беріледі.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