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036" w14:textId="cf6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қалалары мен елді мекендердің аумақтарын абаттандыру қағидасы туралы" облыстық мәслихаттың 2013 жылғы 10 желтоқсандағы № 13/193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2014 жылғы 30 шілдедегі № 18/280 шешімі. Маңғыстау облысының Әділет департаментінде 2014 жылғы 04 кыркүйекте № 2492 болып тіркелді. Күші жойылды - Маңғыстау облыстық мәслихатының 2015 жылғы 10 желтоқсандағы № 29/434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29/434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құқық бұзушылық туралы» 2001 жылғы 30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сәулет, қала құрылысы және құрылыс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16 шілдедегі Қазақстан Республикасының заңдарына және Маңғыстау облысының Әділет департаментінің 2014 жылғы 21 сәуірдегі № 02-11-1374 хатына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қалалары мен елді мекендердің аумақтарын абаттандыру Қағидасы туралы» облыстық мәслихаттың 2013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2348 болып тіркелген, «Маңғыстау» газетінде 2014 жылғы 1 ақпанда жарияланған) шешіміне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қалалары мен елді мекендердің аумақтарын абаттандыру Қағидасын бекіту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Аумақтарды күтіп ұстау мен тазартудың жалпы тәртібі» тарауындағы: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мағынадағы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«Қатты тұрмыстық қалдықтарды кәдеге жарату елді мекеннің қатты тұрмыстық қалдықтар зауытында, полигонында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 жайғастыру және ұстау санитарлық-эпидемиологиялық талаптарға сәйкес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Төрағалық етуші,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министрлiгiнiң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Мырзатов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Қадыр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Дүзмағамбетов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сәулет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құрылысы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Байғожаева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және табиғатты реттеу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Дулат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департаментi»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Дәлбеков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