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1e97" w14:textId="a241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2014 жылғы 22 шілдедегі № 180 "Туристік ақпаратты,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туралы" қаулысына өзгеріс және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20 қарашада № 285 қаулысы. Маңғыстау облысы Әділет департаментінде 2014 жылғы 22 желтоқсанда № 2558 болып тіркелді. Күші жойылды - Маңғыстау облысы әкімдігінің 2015 жылғы 28 қыркүйектегі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Ма</w:t>
      </w:r>
      <w:r>
        <w:rPr>
          <w:rFonts w:ascii="Times New Roman"/>
          <w:b w:val="false"/>
          <w:i w:val="false"/>
          <w:color w:val="ff0000"/>
          <w:sz w:val="28"/>
        </w:rPr>
        <w:t>ңғ</w:t>
      </w:r>
      <w:r>
        <w:rPr>
          <w:rFonts w:ascii="Times New Roman"/>
          <w:b w:val="false"/>
          <w:i w:val="false"/>
          <w:color w:val="ff0000"/>
          <w:sz w:val="28"/>
        </w:rPr>
        <w:t xml:space="preserve">ыстау облысы әкімдігінің 28.09.2015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Заңына және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 14 тамыздағы № 249 бұйрығына өзгерістер мен толықтыру енгізу туралы» 2014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Экономика және бюджеттік жоспарлау министрінің бұйрығына (Нормативтік құқықтық актілердің мемлекеттік тіркеу тізілімінде № 9432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2014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«Туристік ақпаратты,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регламентін бекіту туралы» қаулысына (Нормативтік құқықтық актілердің мемлекеттік тіркеу тізілімінде № 2488 болып тіркелген, 2014 жылғы 2 қыркүйекте «Әділет» ақпараттық-құқықтық жүйесінде жарияланған) мынадай өзгеріс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«Туристік ақпаратты,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регламентінің «Рәсімдердің (іс-қимылдардың) реттілігін сипаттау»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сонымен қатар өзге көрсетілген қызмет берушілермен және (немесе) Орталықпен өзара іс-қимыл тәртібінің және мемлекеттік қызмет көрсету процесінде ақпараттық жүйелерді қолдану тәртібінің сипаттамасы осы Регламентке 2-қосымшаға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туризм басқармасы» мемлекеттік мекемесі (Г.М. Байжауынова)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басқармасы»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Г.М.Байжауынова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«Туристік ақпарат,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туристік әлеует, туризм объектілері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туристік қызметті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тұлғалар туралы туристік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беру»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(іс-қимылдардың) реттілігін сипаттау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027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27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Аббревиатураларды ажырату: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ҚФБ – құрылымдық-функционалдық бірлік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жылы 20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«Туристиік ақпарат оның ішінде туристік әлеует,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 объектілері және туристік қызметті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тұлғалар туралы туристік ақпарат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«Туристік ақпарат, оның ішінде туристік әлеует, туризм объектілері және туристік қызметті жүзеге асыратын тұлғалар туралы туристік ақпарат беру» 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171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