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b3b" w14:textId="8ab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ауданында мүгедектер үшін жұмыс орындарының квотасын бекіту туралы" Маңғыстау ауданы әкімдігінің 2013 жылғы 21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2014 жылғы 31 наурыздағы № 85 қаулысы. Маңғыстау облысының Әділет департаментінде 2014 жылғы 31 наурызда № 2378 болып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сәйкес, Маңғыстау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"Маңғыстау ауданында мүгедектер үшін жұмыс орындарының квотасын бекіту туралы" Маңғыстау ауданы әкімдігінің 2013 жылғы 21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2013 жылы 6 ақпанда № 2215 болып тіркелген, аудандық "Жаңа өмір" газетінде 2013 жылы 13 ақпанда № 8 болып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"5-2) тармағына" деген сөздер "5-2) тармақшасына" деген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"Маңғыстау аудандық жұмыспен қамту және әлеуметтік бағдарламалар бөлімі" мемлекеттік мекемесі қаулының Маңғыстау облысының әділет департаментінде мемлекеттік тіркелуін, бұқаралық ақпарат құралдарында және "Әділет" ақпараттық-құқықтық жүйесінде ресми жариялануын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әкімінің орынбасары Е.Махмутовқа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Каимова Сәнімгүл Нақыпқызы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31.03.2014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