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21c2" w14:textId="30c2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"Мұрағаттық анықтамалар беру" мемлекеттік көрсетілетін қызмет регламентін бекіту туралы" әкімдіктің 2014 жылғы 26 сәуірдегі № 176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8 шілдедегі № 323 қаулысы. Қостанай облысының Әділет департаментінде 2014 жылғы 23 шілдеде № 4951 болып тіркелді. Күші жойылды - Қостанай облысы әкімдігінің 2015 жылғы 17 шілдедегі № 307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17.07.2015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көрсетілетін қызметтер туралы" 2013 жылғы 15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туралы" Қазақстан Республикасы Экономика және бюджеттік жоспарлау министрінің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"Мұрағаттық анықтамалар беру" мемлекеттік көрсетілетін қызмет регламентін бекіту туралы" Қостанай облысы әкімдігінің 2014 жылғы 26 сәуірдегі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4771 болып тіркелген, 2014 жылғы 18 маусымда "Қостанай таңы"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"Мұрағаттық анықтамалар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ХҚО-ның қызметкері құжаттар топтамасын дайындайды және курьерлік немесе басқа өкілетті байланыс арқылы көрсетілетін қызметті берушіге жолдайды (күнтізбелік 1 (бір) күн);";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4-1)-тармақшасымен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"4-1) көрсетілетін қызметті беруші мұрағаттық анықтамаларды дайындайды және оларды курьерлік немесе басқа да өкілетті байланыс арқылы ХҚО-на тапсырады (күнтізбелік 13 (он үш) күн);";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1)-тармақшасының үшінші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"Өтініш дұрыс және толық толтырылса және құжаттар топтамасы толық ұсынылса ХҚО-ның қызметкері өтінішті тіркейді және көрсетілетін қызметті алушыға тиісті құжаттардың қабылданғаны туралы қолхат береді;", орыс тіліндегі мәтін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бизнес-процестерінің анықтамалығы осы Регламентке 4-қосымшада ұсынылған.";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қаулысына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"Мұрағаттық анықтамалар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ХҚО арқылы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көрсетуде тартылған ақпараттық жүйелердің</w:t>
      </w:r>
      <w:r>
        <w:br/>
      </w:r>
      <w:r>
        <w:rPr>
          <w:rFonts w:ascii="Times New Roman"/>
          <w:b/>
          <w:i w:val="false"/>
          <w:color w:val="000000"/>
        </w:rPr>
        <w:t>
функционалдық өзара іс-қимыл диаграммасы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қаулысына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"Мұрағаттық анықтамалар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4-қосымша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"Мұрағаттық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