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0a2fc" w14:textId="b60a2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жылы халықтың нысаналы топтарын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әкімдігінің 2014 жылғы 5 қарашадағы № 2034 қаулысы. Қостанай облысының Әділет департаментінде 2014 жылғы 28 қарашада № 5181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өзін–өзі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31–бабына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7–баптарына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Рудный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Келесі санаттағылар 2015 жылы халықтың нысаналы топтары деп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табысы аз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жиырма бір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балалар үйлерінің тәрбиеленушілері, жетім балалар мен ата-ананың қамқорлығынсыз қалған жиырма үш жасқа дейінгі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кәмелетке толмаған балаларды тәрбиелеп отырған жалғызілікті, көп балалы ата–аналар;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Республикасының заңдарында белгіленген тәртіппен асырауында тұрақты күтімді, көмекті немесе қадағалауды қажет етеді деп танылған адамдар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зейнеткерлік жас алдындағы адамдар (жасына байланысты зейнеткерлікке шығуға екі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Қазақстан Республикасының Қарулы Күштері қатарынан босаған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бас бостандығынан айыру және (немесе) мәжбүрлеп емдеу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жоғары және жоғары оқу орнынан кейінгі білім беру ұйымдарын бітірушілер;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жұмыс беруші–заңды тұлғаның таратылуына не жұмыс беруші–жеке тұлғаның қызметін тоқтатуына, қызметкерлер санының немесе штатының қысқаруына байланысты жұмыстан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қылмыстық–атқару инспекциясы пробация қызметінің есебінде тұрған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терроризм актісінен жәбірленуші адамдар және оның жолын кесуге қатысқан адамдар кіреді;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жиырма бір жастан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жұмыспен қамту мәселелері жөніндегі уәкілетті органда жұмыссыз ретінде тіркелген елу жастан асқан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егер оларға лайықты жұмыс болмаған жағдайда жұмыспен қамту мәселелері жөніндегі уәкілетті органда жұмыссыз ретінде тіркелген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Рудный қаласы әкімінің орынбасары М.Ә. Досболовқа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Рудный қаласының әкімі                     Б. Ғаязов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