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de15" w14:textId="d8cd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Көктал ауылының жергілікті қоғамдастықтың бөлек жиындарын өткізудің қағидаларын және жергілікті қоғамдастық жиынына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145 шешімі. Қостанай облысының Әділет департаментінде 2014 жылғы 29 сәуірде № 4659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Көктал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Көктал ауылының жергілікті қоғамдастық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С.Ж. Қаратаев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145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Көктал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Көктал ауылы көшелері тұрғындарының жергілікті қоғамдастық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Көктал ауылының аумағы учаскелерге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Көктал ауылының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Көктал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Көше шегінде бөлек жиынды өткізуді Көктал ауылының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Көктал ауылының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Көктал ауылының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Көктал ауылының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145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Көктал ауылының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ауылының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