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930e" w14:textId="a909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спорт және ветеринария саласының азаматтық қызметшілеріне жиырма бес процентке жоғары лауазымдық жалақылар мен тарифтік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2014 жылғы 21 ақпандағы № 207 шешімі. Қостанай облысының Әділет департаментінде 2014 жылғы 13 наурызда № 4490 болып тіркелді. Күші жойылды - Қостанай облысы Қарабалық ауданы мәслихатының 2016 жылғы 18 қаңтардағы № 438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мәслихатының 18.01.2016 </w:t>
      </w:r>
      <w:r>
        <w:rPr>
          <w:rFonts w:ascii="Times New Roman"/>
          <w:b w:val="false"/>
          <w:i w:val="false"/>
          <w:color w:val="ff0000"/>
          <w:sz w:val="28"/>
        </w:rPr>
        <w:t>№ 438</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xml:space="preserve">
      Қазақстан Республикасы Еңбек кодексі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орындауда, "Қазақстан Республикасындағы жергілікті мемлекеттік басқару және өзін-өзі басқару туралы" Қазақстан Республикасының Заңы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Аудандық бюджеті қаражаты есебінен қалалық жағдайында осы қызмет түрлерімен айналысатын, азаматтық қызметшілердің төлемақы және ставкасын салыстыру жөнінде ауылдық жерде жұмыс істейтін әлеуметтік қамсыздандыру, білім беру, мәдениет, спорт және ветеринария саласының азаматтық қызметшілеріне жиырма бес процентке жоғары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2013 жылғы 27 қыркүйектегі № 163 "Ауылдық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 4278, "Айна" газетінде 2013 жылдың 7 қарашасында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Тукпатуллина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Аманжолов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 И. Захария</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__________________ Г. Есенова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