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d82d" w14:textId="105d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қаласындағы дене шынықтыру және спорт саласында көрсетілетін мемлекеттік қызмет регламентін бекіту туралы" 2014 жылғы 7 сәуірдегі № 2/221 қаулысына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9 қазандағы № 4/836 қаулысы. Алматы қаласының Әділет департаментінде 2014 жылғы 3 қарашада № 1095 болып тіркелді. Күші жойылды - Алматы қаласы әкімдігінің 2015 жылғы 30 шілдедегі  № 3/476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30.07.2015 № 3/476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>, 2014 жылғы 3 шілдедегі </w:t>
      </w:r>
      <w:r>
        <w:rPr>
          <w:rFonts w:ascii="Times New Roman"/>
          <w:b w:val="false"/>
          <w:i w:val="false"/>
          <w:color w:val="000000"/>
          <w:sz w:val="28"/>
        </w:rPr>
        <w:t>«Дене шынықтыру және спорт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Қазақстан Республикасы Экономика және бюджеттік жоспарлау министрінің 2013 жылғы 14 тамыздағы «Мемлекеттік көрсетілетін қызметтердің стандарттары мен регламенттерін әзірлеу жөніндегі қағиданы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«Алматы қаласындағы дене шынықтыру және спорт саласында көрсетілетін мемлекеттік қызмет регламентін бекіту туралы» 2014 жылғы 7 сәуірдегі № 2/221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24 сәуірде № 1035 болып тіркелген, «Алматы ақшамы» және «Вечерний Алматы» газеттерінде 2014 жылғы 1 мамырда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«1999 жылғы 2 желтоқсандағы «Дене шынықтыру және спорт туралы» сөздері мен сандары «2014 жылғы 3 шілдедегі «Дене шынықтыру және спорт туралы» сөздерімен және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 «Cпорт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 cпорттық разрядтары мен санаттарын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14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және (немесе)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3 қосымшасына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Дене шынықтыру және спорт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4/836 қаулысына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«Спорт шеберiне кандидат,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бірiншi спорттық разряд,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деңгейдегi бірiншi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жаттықтырушы, біліктiлiгi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деңгейдегi бірiншi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нұсқаушы-спортшы,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деңгейдегi бірiншi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әдiскер, бірiншi санатты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төрешiсi cпорттық разрядтары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санаттарын беру»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4"/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«Cпорт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 cпорттық разрядтары мен санаттарын беру»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ҚФБ - құрылымдық - функционалдық бірлік: көрсетілетін қызметті берушінің құрылымдық бөлімшелерінің (қызметкерлерінің) және халыққа қызмет көрсету орталықтарының өзара іс-қимылы.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5692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