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d85f" w14:textId="65ed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коммуналдық мүлікті мүліктік жалдауға (жалға алуға) беру кезінде жалдау ақысының мөлшерлемесін есептеу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2014 жылғы 8 шілдедегі N 188 қаулысы. Солтүстік Қазақстан облысының Әділет департаментінде 2014 жылғы 11 тамызда N 2904 болып тіркелді. Күші жойылды - Солтүстік Қазақстан облысы Уәлиханов ауданы әкімдігінің 2015 жылғы 4 ақпандағы N 56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әкімдігінің 04.02.2015 </w:t>
      </w:r>
      <w:r>
        <w:rPr>
          <w:rFonts w:ascii="Times New Roman"/>
          <w:b w:val="false"/>
          <w:i w:val="false"/>
          <w:color w:val="ff0000"/>
          <w:sz w:val="28"/>
        </w:rPr>
        <w:t>N 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мүлiктiк жалға алуға (жалдауға) беру қағидаларының 50 тармағына сәйкес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ауданның коммуналдық мүлікті мүліктік жалдауға (жалға алуға) беру кезінде жалдау ақысының мөлшерлемесін есептеу тәртібі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Солтүстік Қазақстан облысы Уәлиханов ауданы әкімдігінің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Төрегелдин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2014 жылғы 8 шілдедегі № 188 қаулысына қосымша</w:t>
            </w:r>
          </w:p>
        </w:tc>
      </w:tr>
    </w:tbl>
    <w:p>
      <w:pPr>
        <w:spacing w:after="0"/>
        <w:ind w:left="0"/>
        <w:jc w:val="left"/>
      </w:pPr>
      <w:r>
        <w:rPr>
          <w:rFonts w:ascii="Times New Roman"/>
          <w:b/>
          <w:i w:val="false"/>
          <w:color w:val="000000"/>
        </w:rPr>
        <w:t xml:space="preserve"> Ауданның коммуналдық мүлікті мүліктік жалдауға (жалға алуға) беру кезінде жалдау ақысының мөлшерлемесін есептеу тәртібі</w:t>
      </w:r>
    </w:p>
    <w:p>
      <w:pPr>
        <w:spacing w:after="0"/>
        <w:ind w:left="0"/>
        <w:jc w:val="left"/>
      </w:pPr>
      <w:r>
        <w:rPr>
          <w:rFonts w:ascii="Times New Roman"/>
          <w:b w:val="false"/>
          <w:i w:val="false"/>
          <w:color w:val="000000"/>
          <w:sz w:val="28"/>
        </w:rPr>
        <w:t>      1. Аудандық коммуналдық мүлікті мүліктік жалдауға (жалға алу) беру кезінде жалгерлік ақы мөлшерлемесінің есебі Қазақстан Республикасы Үкіметінің 2014 жылғы 13 ақпандағы №88 қаулысымен бекітілген мемлекеттік мүлікті мүліктік жалдауға (жалға алу) беру Қағидаларының</w:t>
      </w:r>
      <w:r>
        <w:rPr>
          <w:rFonts w:ascii="Times New Roman"/>
          <w:b w:val="false"/>
          <w:i w:val="false"/>
          <w:color w:val="000000"/>
          <w:sz w:val="28"/>
        </w:rPr>
        <w:t xml:space="preserve"> 50 тармағына</w:t>
      </w:r>
      <w:r>
        <w:rPr>
          <w:rFonts w:ascii="Times New Roman"/>
          <w:b w:val="false"/>
          <w:i w:val="false"/>
          <w:color w:val="000000"/>
          <w:sz w:val="28"/>
        </w:rPr>
        <w:t xml:space="preserve"> сәйкес әзірленді, және аудандық коммуналдық мүлікті мүліктік жалдауға (жалға алуға) беру кезінде жалгерлік ақы мөлшерлемесі есебінің тәртібін анықтайды.</w:t>
      </w:r>
      <w:r>
        <w:br/>
      </w:r>
      <w:r>
        <w:rPr>
          <w:rFonts w:ascii="Times New Roman"/>
          <w:b w:val="false"/>
          <w:i w:val="false"/>
          <w:color w:val="000000"/>
          <w:sz w:val="28"/>
        </w:rPr>
        <w:t>
      2. Коммуналдық заңды тұлғалардың теңгеріміндегі мемлекеттік тұрғын емес қоры объектілерін мүліктік жалдауға (жалгерлік) ұсыну бойынша жылдық жалгерлік ақының есебі құрылыс типі, тұрғын емес үй-жайдың түрі, қолайлылық дәрежесі, аумақтық орналасуы, жалдаушының қызметінің түрі, жалдаушының ұйымдастыру-құқықтық нысанын ескеретін қолданылатын коэффициенттер мөлшері және базалық мөлшерлемелер негізінде анықталады, және формула бойынша жасалады:</w:t>
      </w:r>
      <w:r>
        <w:br/>
      </w: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 Рбс х S х Кт х Кк х Кск х Кр х Квд х Копф;</w:t>
      </w:r>
      <w:r>
        <w:br/>
      </w:r>
      <w:r>
        <w:rPr>
          <w:rFonts w:ascii="Times New Roman"/>
          <w:b w:val="false"/>
          <w:i w:val="false"/>
          <w:color w:val="000000"/>
          <w:sz w:val="28"/>
        </w:rPr>
        <w:t>
      мұнда: А</w:t>
      </w:r>
      <w:r>
        <w:rPr>
          <w:rFonts w:ascii="Times New Roman"/>
          <w:b w:val="false"/>
          <w:i w:val="false"/>
          <w:color w:val="000000"/>
          <w:vertAlign w:val="subscript"/>
        </w:rPr>
        <w:t>п</w:t>
      </w:r>
      <w:r>
        <w:rPr>
          <w:rFonts w:ascii="Times New Roman"/>
          <w:b w:val="false"/>
          <w:i w:val="false"/>
          <w:color w:val="000000"/>
          <w:sz w:val="28"/>
        </w:rPr>
        <w:t xml:space="preserve"> – коммуналдық заңды тұлғалардың теңгеріміндегі мемлекеттік тұрғын емес қоры объектілерінің 1 шаршы метрге жалгерлік ақының жылдық мөлшерлемесі;</w:t>
      </w:r>
      <w:r>
        <w:br/>
      </w:r>
      <w:r>
        <w:rPr>
          <w:rFonts w:ascii="Times New Roman"/>
          <w:b w:val="false"/>
          <w:i w:val="false"/>
          <w:color w:val="000000"/>
          <w:sz w:val="28"/>
        </w:rPr>
        <w:t>
      Рбс – 1 шаршы метрге жалгерлік ақының базалық мөлшерлемесі, теңге жылына;</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Аудандық коммуналдық мүлікті мүліктік жалға (жалға алу) беру кезінде құрылыс типі, тұрғын емес үй-жайдың түрі, қолайлылық дәрежесі, аумақтық орналасуы, жалдаушының қызмет түрі, жалдаушының ұйымдастыру-құқықтық нысаны ескерілетін қолданылатын коэффициенттердің базалық мөлшерлемесі мен мөлшері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313"/>
        <w:gridCol w:w="8582"/>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Әкімшілік-аумақтық бірлік</w:t>
            </w:r>
            <w:r>
              <w:br/>
            </w:r>
            <w:r>
              <w:rPr>
                <w:rFonts w:ascii="Times New Roman"/>
                <w:b w:val="false"/>
                <w:i w:val="false"/>
                <w:color w:val="000000"/>
                <w:sz w:val="20"/>
              </w:rPr>
              <w:t>
 </w:t>
            </w: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мөлшерлемесінің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w:t>
            </w:r>
            <w:r>
              <w:br/>
            </w:r>
            <w:r>
              <w:rPr>
                <w:rFonts w:ascii="Times New Roman"/>
                <w:b w:val="false"/>
                <w:i w:val="false"/>
                <w:color w:val="000000"/>
                <w:sz w:val="20"/>
              </w:rPr>
              <w:t>
 </w:t>
            </w: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Сәйкесті жылға республикалық бюджет туралы Қазақстан Республикасы Заңымен белгіленген 1,5 айлық есептік көрсеткіші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0058"/>
        <w:gridCol w:w="1512"/>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типін ескеретін коэффициент Кт:</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 құрылысы</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ғимарат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ғимараттағы үй-жай</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ғимараттың нөлдік қабаты немесе жертөле</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жертөле үй-жайы</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барлық инженерлік-техникалық қондырғылары бар үй-жайларына арналған </w:t>
            </w:r>
            <w:r>
              <w:br/>
            </w:r>
            <w:r>
              <w:rPr>
                <w:rFonts w:ascii="Times New Roman"/>
                <w:b w:val="false"/>
                <w:i w:val="false"/>
                <w:color w:val="000000"/>
                <w:sz w:val="20"/>
              </w:rPr>
              <w:t xml:space="preserve">
қандай да бір коммуникациялар болмаған жағдайда әр түрі үшін 0,1 кемиді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аудандық орталық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ауылдық елді мекендер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банктердің есеп айырысу-кассалық орталықтары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сауда-коммерсиялық және жабдықтаушы-сатушы қызмет (өндірістік, өнеркәсіптік және аралас тауарлар, дәріхана және дәріхана пункттері), қонақ үй қызметтерін ұйымдастыру үшін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банктік қызметтер, айырбастау пункттері, полиграфиялық қызметтер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брокерлік қызмет, сақтандыру және инвестициялық компаниялар, нотариалдық және адвокаттық кеңселер, зейнетақы қорлары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коммуникациялық қызметтер, соның ішінде: байланыс қызметтері, АТС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халыққа қызмет көрсетуге арналған "Қазпошта" АҚ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қызмет көрсету үшін:</w:t>
            </w:r>
            <w:r>
              <w:br/>
            </w:r>
            <w:r>
              <w:rPr>
                <w:rFonts w:ascii="Times New Roman"/>
                <w:b w:val="false"/>
                <w:i w:val="false"/>
                <w:color w:val="000000"/>
                <w:sz w:val="20"/>
              </w:rPr>
              <w:t xml:space="preserve">
- тұрмыстық және мәдени-демалыс қызметтері, тренажер залы, фитнес-клубтар, техникалық қызмет көрсету станциялар, шеберханалар </w:t>
            </w:r>
            <w:r>
              <w:br/>
            </w:r>
            <w:r>
              <w:rPr>
                <w:rFonts w:ascii="Times New Roman"/>
                <w:b w:val="false"/>
                <w:i w:val="false"/>
                <w:color w:val="000000"/>
                <w:sz w:val="20"/>
              </w:rPr>
              <w:t xml:space="preserve">
- жерлеу қызметтері, кітапты жалға беру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қоғамдық тамақтандыру саласындағы қызмет көрсету үшін:</w:t>
            </w:r>
            <w:r>
              <w:br/>
            </w:r>
            <w:r>
              <w:rPr>
                <w:rFonts w:ascii="Times New Roman"/>
                <w:b w:val="false"/>
                <w:i w:val="false"/>
                <w:color w:val="000000"/>
                <w:sz w:val="20"/>
              </w:rPr>
              <w:t>
- дәмхана, мейрамхана</w:t>
            </w:r>
            <w:r>
              <w:br/>
            </w:r>
            <w:r>
              <w:rPr>
                <w:rFonts w:ascii="Times New Roman"/>
                <w:b w:val="false"/>
                <w:i w:val="false"/>
                <w:color w:val="000000"/>
                <w:sz w:val="20"/>
              </w:rPr>
              <w:t xml:space="preserve">
- буфет және асхана </w:t>
            </w:r>
            <w:r>
              <w:br/>
            </w:r>
            <w:r>
              <w:rPr>
                <w:rFonts w:ascii="Times New Roman"/>
                <w:b w:val="false"/>
                <w:i w:val="false"/>
                <w:color w:val="000000"/>
                <w:sz w:val="20"/>
              </w:rPr>
              <w:t xml:space="preserve">
- білім ұйымдарындағы буфет пен асхана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2,0</w:t>
            </w:r>
            <w:r>
              <w:br/>
            </w:r>
            <w:r>
              <w:rPr>
                <w:rFonts w:ascii="Times New Roman"/>
                <w:b w:val="false"/>
                <w:i w:val="false"/>
                <w:color w:val="000000"/>
                <w:sz w:val="20"/>
              </w:rPr>
              <w:t>
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 білім саласындағы қызмет көрсету үшін (мектептен тыс, оқушыларға арналған үйірме қызметі, компьютерлік сыныптар), балалар мен жасөспірімдерге арналған дене шынықтыру және спорт үйірмелері, денсаулық сақтау және мәдениет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өндірістік қызмет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5.11 көлік жай, қойма, сақтау камералары үй-жайлары үшін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 оқу қызметі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5.1-5.12 - тармақтарда көрсетілген қызмет түрлерін қоспағанда, қызмет түрлері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Жалдаушының ұйымдастыру-құқықтық нысанын ескеретін коэффициент Копф: </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жеке кәсіпкерлер үшін</w:t>
            </w:r>
            <w:r>
              <w:br/>
            </w:r>
            <w:r>
              <w:rPr>
                <w:rFonts w:ascii="Times New Roman"/>
                <w:b w:val="false"/>
                <w:i w:val="false"/>
                <w:color w:val="000000"/>
                <w:sz w:val="20"/>
              </w:rPr>
              <w:t>
6.2 жеке меншік нысанымен құрылымдарға арналған (серіктестіктер, акционерлік қоғамдар, ұлттық компаниялар)</w:t>
            </w:r>
            <w:r>
              <w:br/>
            </w:r>
            <w:r>
              <w:rPr>
                <w:rFonts w:ascii="Times New Roman"/>
                <w:b w:val="false"/>
                <w:i w:val="false"/>
                <w:color w:val="000000"/>
                <w:sz w:val="20"/>
              </w:rPr>
              <w:t xml:space="preserve">
6.3 қайырымдылық және қоғамдық ұйымдар мен бірлестіктер, коммерциялық емес ұйымдар үшін </w:t>
            </w:r>
            <w:r>
              <w:br/>
            </w:r>
            <w:r>
              <w:rPr>
                <w:rFonts w:ascii="Times New Roman"/>
                <w:b w:val="false"/>
                <w:i w:val="false"/>
                <w:color w:val="000000"/>
                <w:sz w:val="20"/>
              </w:rPr>
              <w:t>
6.4 мемлекеттік кәсіпорындар мен мекемелер үшін:</w:t>
            </w:r>
            <w:r>
              <w:br/>
            </w:r>
            <w:r>
              <w:rPr>
                <w:rFonts w:ascii="Times New Roman"/>
                <w:b w:val="false"/>
                <w:i w:val="false"/>
                <w:color w:val="000000"/>
                <w:sz w:val="20"/>
              </w:rPr>
              <w:t>
- республикалық бюджеттен қаржыландырылатын, республикалық мемлекеттік кәсіпорындарға арналған;</w:t>
            </w:r>
            <w:r>
              <w:br/>
            </w:r>
            <w:r>
              <w:rPr>
                <w:rFonts w:ascii="Times New Roman"/>
                <w:b w:val="false"/>
                <w:i w:val="false"/>
                <w:color w:val="000000"/>
                <w:sz w:val="20"/>
              </w:rPr>
              <w:t xml:space="preserve">
- жергілікті бюджеттен қаржыландырылатын және әкімдіктің коммуналдық меншігіндегі тиісті бюджет деңгейіндегі мүлік жалдаушыларға </w:t>
            </w:r>
            <w:r>
              <w:br/>
            </w:r>
            <w:r>
              <w:rPr>
                <w:rFonts w:ascii="Times New Roman"/>
                <w:b w:val="false"/>
                <w:i w:val="false"/>
                <w:color w:val="000000"/>
                <w:sz w:val="20"/>
              </w:rPr>
              <w:t>
6.5 жеке тұлғалар үшін</w:t>
            </w:r>
            <w:r>
              <w:br/>
            </w: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w:t>
            </w:r>
            <w:r>
              <w:br/>
            </w:r>
            <w:r>
              <w:rPr>
                <w:rFonts w:ascii="Times New Roman"/>
                <w:b w:val="false"/>
                <w:i w:val="false"/>
                <w:color w:val="000000"/>
                <w:sz w:val="20"/>
              </w:rPr>
              <w:t>
 </w:t>
            </w:r>
            <w:r>
              <w:br/>
            </w:r>
            <w:r>
              <w:rPr>
                <w:rFonts w:ascii="Times New Roman"/>
                <w:b w:val="false"/>
                <w:i w:val="false"/>
                <w:color w:val="000000"/>
                <w:sz w:val="20"/>
              </w:rPr>
              <w:t xml:space="preserve">
Жалдау ақысын алмай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Көлік құралдарын, құрылыс, жұмыс және ауыл шаруашылық машиналарды, жабдықтарды, инженерлік желілерді, коммуникацияларды және басқа да аудандық коммуналдық меншік мүлкін, мемлекеттік тұрғын емес қор объектілерін есептемегенде, мүліктік жалға беру ақысын есептеу тәртібі</w:t>
      </w:r>
      <w:r>
        <w:br/>
      </w:r>
      <w:r>
        <w:rPr>
          <w:rFonts w:ascii="Times New Roman"/>
          <w:b w:val="false"/>
          <w:i w:val="false"/>
          <w:color w:val="000000"/>
          <w:sz w:val="28"/>
        </w:rPr>
        <w:t>
      1. Есептеу мөлшерлемесін формула арқылы анықтау:</w:t>
      </w:r>
      <w:r>
        <w:br/>
      </w:r>
      <w:r>
        <w:rPr>
          <w:rFonts w:ascii="Times New Roman"/>
          <w:b w:val="false"/>
          <w:i w:val="false"/>
          <w:color w:val="000000"/>
          <w:sz w:val="28"/>
        </w:rPr>
        <w:t>
      п = С х Nam /100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ставкасы;</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"Салық және бюджетке төленетін басқа да міндетті төлемдер туралы" Қазақстан Республикасы Кодексінің (Салық кодексі)</w:t>
      </w:r>
      <w:r>
        <w:rPr>
          <w:rFonts w:ascii="Times New Roman"/>
          <w:b w:val="false"/>
          <w:i w:val="false"/>
          <w:color w:val="000000"/>
          <w:sz w:val="28"/>
        </w:rPr>
        <w:t xml:space="preserve"> 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