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d1f" w14:textId="154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1 қазандағы № 360-ІV "Атырау облысының елді мекендерінде жасыл желекті екпелер құру, күтіп ұстау және қорғау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10 сәуірдегі № 247-V шешімі. Атырау облысының Әділет департаментінде 2014 жылғы 28 сәуірде № 2898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шақырылған облыстық мәслихат кезекті 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2010 жылғы 1 қазандағы № 360-ІV "Атырау облысының елді мекендерінде жасыл желекті екпелер құру, күтіп ұстау және қорғау Ережесін бекіту туралы" (нормативтік құқықтық актілерді мемлекеттік тіркеу тізілімінде № 2574 санымен тіркелген, 2010 жылы 20 қарашада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елді мекендерінде жасыл желекті екпелер құру, күтіп ұстау және қорғау Ережесінде мемлекеттік тілдегі мәтінінде: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"Қалалар,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 округі",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"қаланы, кенттік және поселкелік округті",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округтерде",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 және поселке" деген сөздер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"қалалар,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"қаланы, ауылдық және кенттік округті",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округтерде",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округтер"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өзгертілмейді.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Жанбала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