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2e3" w14:textId="027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2013 жылғы 21 маусымдағы № 125 "Атырау қаласында бейбіт жиналыстар, митингілер, шерулер, пикеттер және демонстрациялар өткізу тәртiбiн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2014 жылғы 05 желтоқсандағы № 229 шешімі. Атырау облысының Әділет департаментінде 2014 жылғы 22 желтоқсанда № 3058 болып тіркелді. Күші жойылды - Атырау облысы Атырау қалалық мәслихатының 2016 жылғы 28 наурыздағы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мәслихатының 28.03.2016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қалалық мәслихатының 2013 жылғы 21 маусымдағы № 125 "Атырау қаласында бейбіт жиналыстар, митингілер, шерулер, пикеттер және демонстрациялар өткізу тәртiбiн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2750 тіркелген, 2013 жылы 25 шілде күні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мәтінде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және "селосы" деген сөздер сәйкесінше "ауылдық" және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Атырау қалалық мәслихатының заңдылықты сақтау, азаматтардың арыз–шағымдарын қабылдау, экология, ауылшаруашылықты дамыту, тұрғын үй, энергетика және автокөлік жолдары мәселелері жөніндегі тұрақты комиссиясына жүктелсін (Б. Рысқалиев).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ХХІХ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Атырау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