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5c92" w14:textId="2075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 шілдедегі № 209 қаулысы. Оңтүстік Қазақстан облысының Әділет департаментінде 2014 жылғы 6 тамызда № 2759 болып тіркелді. Күші жойылды - Оңтүстік Қазақстан облыстық әкімдігінің 2015 жылғы 6 қазандағы № 314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06.10.2015 № 314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кәсіпкерлік және индустриялды-инновациялық даму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 Қ. Тұяқбаевқа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А. Бектаев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Ә. Қаныбеков</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p>
    <w:bookmarkStart w:name="z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 шілдедегі № 209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 (бұдан әрі-мемлекеттік көрсетілетін қызмет) «Оңтүстік Қазақстан облысының кәсіпкерлік және индустриялды-инновациялық даму басқармасы» мемлекеттік мекемесімен (бұдан әрі-көрсетілетін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сондай ақ «электрондық үкіметтің» веб-порталы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ресімдеу, лицензияның телнұсқасы немесе Қазақстан Республикасы Үкіметінің 2014 жылғы 26 ақпандағы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жауап.</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15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15 минут ішінде көрсетілетін қызметті алушыға не сенімхат бойынша оның өкіліне табыстайды.</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Қызметті Портал арқылы алу үшін қызмет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құжаттарды қарастырады;</w:t>
      </w:r>
      <w:r>
        <w:br/>
      </w:r>
      <w:r>
        <w:rPr>
          <w:rFonts w:ascii="Times New Roman"/>
          <w:b w:val="false"/>
          <w:i w:val="false"/>
          <w:color w:val="000000"/>
          <w:sz w:val="28"/>
        </w:rPr>
        <w:t>
      9) оң нәтижелі кезде, қызмет алушының жеке кабинетінде өтініштің жағдайы «Қанағаттанарлыққа» ауысады. Кейін, қызмет алушы нәтижені көшіре алады;</w:t>
      </w:r>
      <w:r>
        <w:br/>
      </w:r>
      <w:r>
        <w:rPr>
          <w:rFonts w:ascii="Times New Roman"/>
          <w:b w:val="false"/>
          <w:i w:val="false"/>
          <w:color w:val="000000"/>
          <w:sz w:val="28"/>
        </w:rPr>
        <w:t>
      10)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хатын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w:t>
      </w:r>
    </w:p>
    <w:bookmarkEnd w:id="10"/>
    <w:bookmarkStart w:name="z22" w:id="11"/>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және құрамында түстi және (немесе) қара металл</w:t>
      </w:r>
      <w:r>
        <w:br/>
      </w:r>
      <w:r>
        <w:rPr>
          <w:rFonts w:ascii="Times New Roman"/>
          <w:b w:val="false"/>
          <w:i w:val="false"/>
          <w:color w:val="000000"/>
          <w:sz w:val="28"/>
        </w:rPr>
        <w:t>
сынықтары және (немесе) қалдықтары болған мүлiктiк</w:t>
      </w:r>
      <w:r>
        <w:br/>
      </w:r>
      <w:r>
        <w:rPr>
          <w:rFonts w:ascii="Times New Roman"/>
          <w:b w:val="false"/>
          <w:i w:val="false"/>
          <w:color w:val="000000"/>
          <w:sz w:val="28"/>
        </w:rPr>
        <w:t>
кешендi сатып алу нәтижесiнде пайда болған түстi</w:t>
      </w:r>
      <w:r>
        <w:br/>
      </w:r>
      <w:r>
        <w:rPr>
          <w:rFonts w:ascii="Times New Roman"/>
          <w:b w:val="false"/>
          <w:i w:val="false"/>
          <w:color w:val="000000"/>
          <w:sz w:val="28"/>
        </w:rPr>
        <w:t>
және қара металл сынықтары мен қалдықтарын өткiзу</w:t>
      </w:r>
      <w:r>
        <w:br/>
      </w:r>
      <w:r>
        <w:rPr>
          <w:rFonts w:ascii="Times New Roman"/>
          <w:b w:val="false"/>
          <w:i w:val="false"/>
          <w:color w:val="000000"/>
          <w:sz w:val="28"/>
        </w:rPr>
        <w:t>
жөнiндегi қызметтi қоспағанда, заңды тұлғалардың</w:t>
      </w:r>
      <w:r>
        <w:br/>
      </w:r>
      <w:r>
        <w:rPr>
          <w:rFonts w:ascii="Times New Roman"/>
          <w:b w:val="false"/>
          <w:i w:val="false"/>
          <w:color w:val="000000"/>
          <w:sz w:val="28"/>
        </w:rPr>
        <w:t>
түстi және қара металл сынықтары мен қалдықтарын</w:t>
      </w:r>
      <w:r>
        <w:br/>
      </w:r>
      <w:r>
        <w:rPr>
          <w:rFonts w:ascii="Times New Roman"/>
          <w:b w:val="false"/>
          <w:i w:val="false"/>
          <w:color w:val="000000"/>
          <w:sz w:val="28"/>
        </w:rPr>
        <w:t>
жинау (дайындау), сақтау, өңдеу және лицензиаттарға</w:t>
      </w:r>
      <w:r>
        <w:br/>
      </w:r>
      <w:r>
        <w:rPr>
          <w:rFonts w:ascii="Times New Roman"/>
          <w:b w:val="false"/>
          <w:i w:val="false"/>
          <w:color w:val="000000"/>
          <w:sz w:val="28"/>
        </w:rPr>
        <w:t>
өткiзу жөніндегі қызметтi жүзеге асыруға лицензия беру,</w:t>
      </w:r>
      <w:r>
        <w:br/>
      </w:r>
      <w:r>
        <w:rPr>
          <w:rFonts w:ascii="Times New Roman"/>
          <w:b w:val="false"/>
          <w:i w:val="false"/>
          <w:color w:val="000000"/>
          <w:sz w:val="28"/>
        </w:rPr>
        <w:t>
қайта ресiмдеу,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үдерісіндегі рәсімдер (іс-қимылдар) реттілігінің блок-схема түрінде сипатталуы және мемлекеттік қызмет көрсету бизнес-процестерінің анықтамалығы</w:t>
      </w:r>
    </w:p>
    <w:p>
      <w:pPr>
        <w:spacing w:after="0"/>
        <w:ind w:left="0"/>
        <w:jc w:val="both"/>
      </w:pPr>
      <w:r>
        <w:drawing>
          <wp:inline distT="0" distB="0" distL="0" distR="0">
            <wp:extent cx="63500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5753100"/>
                    </a:xfrm>
                    <a:prstGeom prst="rect">
                      <a:avLst/>
                    </a:prstGeom>
                  </pic:spPr>
                </pic:pic>
              </a:graphicData>
            </a:graphic>
          </wp:inline>
        </w:drawing>
      </w:r>
    </w:p>
    <w:bookmarkStart w:name="z23" w:id="12"/>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және құрамында түстi және (немесе) қара металл</w:t>
      </w:r>
      <w:r>
        <w:br/>
      </w:r>
      <w:r>
        <w:rPr>
          <w:rFonts w:ascii="Times New Roman"/>
          <w:b w:val="false"/>
          <w:i w:val="false"/>
          <w:color w:val="000000"/>
          <w:sz w:val="28"/>
        </w:rPr>
        <w:t>
сынықтары және (немесе) қалдықтары болған мүлiктiк</w:t>
      </w:r>
      <w:r>
        <w:br/>
      </w:r>
      <w:r>
        <w:rPr>
          <w:rFonts w:ascii="Times New Roman"/>
          <w:b w:val="false"/>
          <w:i w:val="false"/>
          <w:color w:val="000000"/>
          <w:sz w:val="28"/>
        </w:rPr>
        <w:t>
кешендi сатып алу нәтижесiнде пайда болған түстi</w:t>
      </w:r>
      <w:r>
        <w:br/>
      </w:r>
      <w:r>
        <w:rPr>
          <w:rFonts w:ascii="Times New Roman"/>
          <w:b w:val="false"/>
          <w:i w:val="false"/>
          <w:color w:val="000000"/>
          <w:sz w:val="28"/>
        </w:rPr>
        <w:t>
және қара металл сынықтары мен қалдықтарын өткiзу</w:t>
      </w:r>
      <w:r>
        <w:br/>
      </w:r>
      <w:r>
        <w:rPr>
          <w:rFonts w:ascii="Times New Roman"/>
          <w:b w:val="false"/>
          <w:i w:val="false"/>
          <w:color w:val="000000"/>
          <w:sz w:val="28"/>
        </w:rPr>
        <w:t>
жөнiндегi қызметтi қоспағанда, заңды тұлғалардың</w:t>
      </w:r>
      <w:r>
        <w:br/>
      </w:r>
      <w:r>
        <w:rPr>
          <w:rFonts w:ascii="Times New Roman"/>
          <w:b w:val="false"/>
          <w:i w:val="false"/>
          <w:color w:val="000000"/>
          <w:sz w:val="28"/>
        </w:rPr>
        <w:t>
түстi және қара металл сынықтары мен қалдықтарын жинау</w:t>
      </w:r>
      <w:r>
        <w:br/>
      </w:r>
      <w:r>
        <w:rPr>
          <w:rFonts w:ascii="Times New Roman"/>
          <w:b w:val="false"/>
          <w:i w:val="false"/>
          <w:color w:val="000000"/>
          <w:sz w:val="28"/>
        </w:rPr>
        <w:t>
(дайындау), сақтау, өңдеу және лицензиаттарға өткiзу</w:t>
      </w:r>
      <w:r>
        <w:br/>
      </w:r>
      <w:r>
        <w:rPr>
          <w:rFonts w:ascii="Times New Roman"/>
          <w:b w:val="false"/>
          <w:i w:val="false"/>
          <w:color w:val="000000"/>
          <w:sz w:val="28"/>
        </w:rPr>
        <w:t>
жөніндегі қызметтi жүзеге асыруға лицензия беру,</w:t>
      </w:r>
      <w:r>
        <w:br/>
      </w:r>
      <w:r>
        <w:rPr>
          <w:rFonts w:ascii="Times New Roman"/>
          <w:b w:val="false"/>
          <w:i w:val="false"/>
          <w:color w:val="000000"/>
          <w:sz w:val="28"/>
        </w:rPr>
        <w:t>
қайта ресiмдеу, лицензияның телнұсқаларын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drawing>
          <wp:inline distT="0" distB="0" distL="0" distR="0">
            <wp:extent cx="93853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85300" cy="37719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p>
    <w:p>
      <w:pPr>
        <w:spacing w:after="0"/>
        <w:ind w:left="0"/>
        <w:jc w:val="both"/>
      </w:pPr>
      <w:r>
        <w:rPr>
          <w:rFonts w:ascii="Times New Roman"/>
          <w:b w:val="false"/>
          <w:i w:val="false"/>
          <w:color w:val="000000"/>
          <w:sz w:val="28"/>
        </w:rPr>
        <w:t> </w:t>
      </w:r>
      <w:r>
        <w:drawing>
          <wp:inline distT="0" distB="0" distL="0" distR="0">
            <wp:extent cx="6210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3276600"/>
                    </a:xfrm>
                    <a:prstGeom prst="rect">
                      <a:avLst/>
                    </a:prstGeom>
                  </pic:spPr>
                </pic:pic>
              </a:graphicData>
            </a:graphic>
          </wp:inline>
        </w:drawing>
      </w:r>
    </w:p>
    <w:bookmarkStart w:name="z24" w:id="13"/>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және құрамында түстi және (немесе) қара металл</w:t>
      </w:r>
      <w:r>
        <w:br/>
      </w:r>
      <w:r>
        <w:rPr>
          <w:rFonts w:ascii="Times New Roman"/>
          <w:b w:val="false"/>
          <w:i w:val="false"/>
          <w:color w:val="000000"/>
          <w:sz w:val="28"/>
        </w:rPr>
        <w:t>
сынықтары және (немесе) қалдықтары болған мүлiктiк</w:t>
      </w:r>
      <w:r>
        <w:br/>
      </w:r>
      <w:r>
        <w:rPr>
          <w:rFonts w:ascii="Times New Roman"/>
          <w:b w:val="false"/>
          <w:i w:val="false"/>
          <w:color w:val="000000"/>
          <w:sz w:val="28"/>
        </w:rPr>
        <w:t>
кешендi сатып алу нәтижесiнде пайда болған түстi</w:t>
      </w:r>
      <w:r>
        <w:br/>
      </w:r>
      <w:r>
        <w:rPr>
          <w:rFonts w:ascii="Times New Roman"/>
          <w:b w:val="false"/>
          <w:i w:val="false"/>
          <w:color w:val="000000"/>
          <w:sz w:val="28"/>
        </w:rPr>
        <w:t>
және қара металл сынықтары мен қалдықтарын өткiзу</w:t>
      </w:r>
      <w:r>
        <w:br/>
      </w:r>
      <w:r>
        <w:rPr>
          <w:rFonts w:ascii="Times New Roman"/>
          <w:b w:val="false"/>
          <w:i w:val="false"/>
          <w:color w:val="000000"/>
          <w:sz w:val="28"/>
        </w:rPr>
        <w:t>
жөнiндегi қызметтi қоспағанда, заңды тұлғалардың</w:t>
      </w:r>
      <w:r>
        <w:br/>
      </w:r>
      <w:r>
        <w:rPr>
          <w:rFonts w:ascii="Times New Roman"/>
          <w:b w:val="false"/>
          <w:i w:val="false"/>
          <w:color w:val="000000"/>
          <w:sz w:val="28"/>
        </w:rPr>
        <w:t>
түстi және қара металл сынықтары мен қалдықтарын жинау</w:t>
      </w:r>
      <w:r>
        <w:br/>
      </w:r>
      <w:r>
        <w:rPr>
          <w:rFonts w:ascii="Times New Roman"/>
          <w:b w:val="false"/>
          <w:i w:val="false"/>
          <w:color w:val="000000"/>
          <w:sz w:val="28"/>
        </w:rPr>
        <w:t>
(дайындау), сақтау, өңдеу және лицензиаттарға өткiзу</w:t>
      </w:r>
      <w:r>
        <w:br/>
      </w:r>
      <w:r>
        <w:rPr>
          <w:rFonts w:ascii="Times New Roman"/>
          <w:b w:val="false"/>
          <w:i w:val="false"/>
          <w:color w:val="000000"/>
          <w:sz w:val="28"/>
        </w:rPr>
        <w:t>
жөніндегі қызметтi жүзеге асыруға лицензия беру, қайта ресiмдеу,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үдерісі реттілігіндегі рәсімдердің (іс-қимылдардың) графикалық түрде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2990"/>
        <w:gridCol w:w="3170"/>
        <w:gridCol w:w="2719"/>
        <w:gridCol w:w="2591"/>
      </w:tblGrid>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құжаттарды ақпараттық жүйеге тіркеп, 15 минуттың ішінде ақпараттық жүйе арқылы көрсетілетін қызметті берушінің басшылығына жолдайды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жүйеден мемлекеттік көрсетілетін қызмет нәтижесін басып шығарады және 15 минут ішінде көрсетілетін қызметті алушыға не сенімхат бойынша оның өкіліне табыстайды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