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5657" w14:textId="79d5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облысындағы арнайы комиссияның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11 қыркүйектегі № 292 қаулысы. Оңтүстік Қазақстан облысының Әділет департаментінде 2014 жылғы 7 қазанда № 2821 болып тіркелді. Күші жойылды - Түркістан облысы әкiмдiгiнiң 2023 жылғы 27 қарашадағы № 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27.11.2023 № 250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тақырыбына өзгеріс енгізілді - Түркістан облысы әкiмдiгiнiң 20.01.2021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"Арнайы комиссия туралы үлгілік ережені бекіту туралы" Қазақстан Республикасы Еңбек және халықты әлеуметтік қорғау министрінің 2013 жылғы 22 шілдедегі № 325-ө-м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облысындағы арнайы комиссияның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әкiмдiгiнiң 20.01.2021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облысының жұмыспен қамтуды үйлестіру және әлеуметтік бағдарламалар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Ә.Бектаевқа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 11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арнайы комиссия туралы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Түркістан облысы әкiмдiгiнiң 20.01.2021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Арнайы комиссия туралы ереже (бұдан әрі –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)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Еңбек және халықты әлеуметтік қорғау министрінің 2013 жылғы 22 шілдедегі № 325-ө-м (бұдан әрі–Үлгілік ережелер)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арнайы комиссияның мәртебесі мен өкілеттігін айқындайды.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пайдаланылатын негізгі ұғымдар: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әлеуметтік көмек көрсетуді жергілікті бюджет есебінен қаржыландыруды жүзеге асыратын ауданның (облыстық маңызы бар қаланың) жергілікті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комиссия – (бұдан әрі – Комиссия) өмірлік қиын жағдайдың туындауына байланысты әлеуметтік көмек көрсетуге үміткер адамның (отбасының) өтінішін қарау бойынша аудан (облыстық маңызы бар қала) әкімінің шешімімен құрылатын комиссия.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аудан (облыстық маңызы бар қала) аумағында тұрақты жұмыс істейтін алқалы орган болып табылады. Комиссия өз жұмысын ашықтық, жариялылық, алқалылық және әділдік қағидаттарымен ұйымдастырады.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Заңдарын, Қазақстан Республикасы Президентінің және Үкіметінің актілерін,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қызметін бақылауды аудан (облыстық маңызы бар қала) әкімінің әлеуметтік қорғау мәселелеріне жетекшілік ететін орынбасары жүзеге асырады.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 мен функциялары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негізгі міндеті осы Ереженің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негізгі функциясы әрбір жекелеген жағдайда әлеуметтік көмектің мөлшерін көрсете отырып, Үлгілік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әлеуметтік көмек көрсету қажеттігі туралы қорытынды шығару болып табылады.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өз қызметін өтеусіз негізде жүзеге асырады.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Комиссияның құрамына жергілікті атқарушы органдардың мүдделі құрылымдық бөлімшелерінің, оның ішінде ұйымдардың және білім беру, денсаулық сақтау, әлеуметтік қорғау уәкілетті органдарының өкілдері, құқық қорғау органдарының, қоғамдық бірлестіктердің қызметкерлері кіреді.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төрағадан, хатшыдан және комиссия мүшелерінен тұрады. Комиссияның жалпы құрамы жеті адамнан кем болмауға тиіс.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 (облыстық маңызы бар қала) әкімінің әлеуметтік қорғау мәселелері жөніндегі орынбасары Төраға болып табылады.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Комиссияның жұмысын ұйымдастырады және Комиссияға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жүктелген міндеттер мен функциялардың уақтылы және сапалы орындалуын қамтамасыз етеді.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 - ауданның (облыстық маңызы бар қаланың) жұмыспен қамту және әлеуметтік бағдарламалар бөлімі, Комиссияның жұмыс органы болып табылады.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хатшысының міндеті бөлімнің маманына жүктеледі.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уәкілетті органнан құжаттардың толық пакетін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шешімдері оның құрамы жалпы санының үштен екісі болған кезде заңды болады.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Комиссияның шешімі ашық дауыс беру арқылы қабылданады және комиссия мүшелерінің жалпы санының басым көпшілігі дауыс берсе, қабылданды деп есептеледі. Дауыстар тең болған жағдайда, Комиссия төрағасының даусы шешуші болып саналады.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қабылдаған шешім қорытынды нысанында ресімделеді және осы Ереженің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уәкілетті органға беріледі.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қорытынды болған кезде әлеуметтік көмектің мөлшері көрсетіледі.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әлеуметтік көмек мөлшерін айқындау кезінде жергілікті өкілді органдар бекіткен әлеуметтік көмек көрсету, оның мөлшерлерін белгілеу және мұқтаж азаматтардың жекелеген санаттарының тізбесін айқындау қағидаларын басшылыққа алады.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