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918b" w14:textId="b9b9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2014 жылғы 29 желтоқсандағы № 388 қаулысы. Оңтүстік Қазақстан облысының Әділет департаментінде 2015 жылғы 12 қаңтарда № 2955 болып тіркелді. Күші жойылды - Оңтүстік Қазақстан облысы Бәйдібек ауданы әкімдігінің 2015 жылғы 18 мамырдағы № 306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Бәйдібек ауданы әкімдігінің 18.05.2015 № 306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Бәйдібек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Бәйдібек ауданының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«Бәйдібек ауданының экономика және қаржы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Бәйдібек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Бәйдібек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Ж. Әбілдабекке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Б.Көшербай</w:t>
      </w:r>
    </w:p>
    <w:bookmarkStart w:name="z6" w:id="1"/>
    <w:p>
      <w:pPr>
        <w:spacing w:after="0"/>
        <w:ind w:left="0"/>
        <w:jc w:val="both"/>
      </w:pPr>
      <w:r>
        <w:rPr>
          <w:rFonts w:ascii="Times New Roman"/>
          <w:b w:val="false"/>
          <w:i w:val="false"/>
          <w:color w:val="000000"/>
          <w:sz w:val="28"/>
        </w:rPr>
        <w:t>
Бәйдібек ауданы әкiмдiгiнiң</w:t>
      </w:r>
      <w:r>
        <w:br/>
      </w:r>
      <w:r>
        <w:rPr>
          <w:rFonts w:ascii="Times New Roman"/>
          <w:b w:val="false"/>
          <w:i w:val="false"/>
          <w:color w:val="000000"/>
          <w:sz w:val="28"/>
        </w:rPr>
        <w:t>
2014 жылғы «29» желтоқсандағы</w:t>
      </w:r>
      <w:r>
        <w:br/>
      </w:r>
      <w:r>
        <w:rPr>
          <w:rFonts w:ascii="Times New Roman"/>
          <w:b w:val="false"/>
          <w:i w:val="false"/>
          <w:color w:val="000000"/>
          <w:sz w:val="28"/>
        </w:rPr>
        <w:t>
№ 388 қаулысына қосымша</w:t>
      </w:r>
    </w:p>
    <w:bookmarkEnd w:id="1"/>
    <w:bookmarkStart w:name="z7" w:id="2"/>
    <w:p>
      <w:pPr>
        <w:spacing w:after="0"/>
        <w:ind w:left="0"/>
        <w:jc w:val="left"/>
      </w:pPr>
      <w:r>
        <w:rPr>
          <w:rFonts w:ascii="Times New Roman"/>
          <w:b/>
          <w:i w:val="false"/>
          <w:color w:val="000000"/>
        </w:rPr>
        <w:t xml:space="preserve"> 
Бәйдібек ауданының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Бәйдібек ауданының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 88 қаулысымен бекітілген «Мемлекеттік мүлікті мүлiктiк жалдауға (жалға алуға) беру қағидаларын бекіту туралы» қаулысының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мүлкін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аумақтық орналасуы, жалдаушының қызмет түрі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Кр х Квд,</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6. Бәйдібек аудандық коммуналдық мүлік объектілері үшін жалдау ақысының мөлшерлемесін есептеу кезінде қолданылатын коэффициенттер: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9962"/>
        <w:gridCol w:w="2414"/>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аудан орталығы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ауылдық жерлерде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1635"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халыққа қызмет көрсетуге арналған банктердің, «Қазпошта» АҚ-ның есеп айырысу-кассалық орталықтары, банкоматтар, терминалдар үшін (қол жетімділігі шектеулі коммуналдық заңды тұлғалардың ғимараттарында 0,5-ке төмендету коэффициенті қолданылады)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қоғамдық тамақтануды ұйымдастыру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денсаулық сақтау, мәдениет және спорт салаларында қызметтерді ұйымдастыру үшін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орындарының жатақханаларындағы асхана мен буфеттер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3.1-3.6-тармақтарда көрсетілген қызмет түрлерін қоспағанда, қызмет түрлері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