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95fc" w14:textId="4c09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2014 жылғы 27 қаңтардағы № 35 "2014 жылға арналған қоғамдық жұмыстарды жергілікті бюджет қаражаты есебінен ұйымдастыру және оның көлемі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2014 жылғы 15 қыркүйектегі № 478 қаулысы. Оңтүстік Қазақстан облысының Әділет департаментінде 2014 жылғы 24 қыркүйекте № 2807 болып тіркелді. Қолданылу мерзімінің аяқталуына байланысты күші жойылды - (Оңтүстік Қазақстан облысы Ордабасы ауданы әкімдігінің 2015 жылғы 20 ақпандағы № 487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ауданы әкімдігінің 20.02.2015 № 487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қаулысына өзгерістер енгізу туралы» Қазақстан Республикасы Үкіметінің 2014 жылғы 3 наурызындағы № 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 әкімдігінің 2014 жылғы 27 қаңтардағы № 35 «2014 жылға арналған қоғамдық жұмыстарды жергілікті бюджет қаражаты есебінен ұйымдастыру және оның көлемі туралы» (Нормативтік құқықтық актілер мемлекеттік тіркеу тізілімінде № 2528 тіркелген, 2014 жылғы 8 наурызындағы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