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8b5a" w14:textId="4868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2014 жылғы 20 қаңтардағы № 6 "2014 жылы қоғамдық жұмыстарды жергілікті бюджет қаражаты есебінен ұйымдастыру және оның көлемі туралы"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әкімдігінің 2014 жылғы 22 шілдедегі № 449 қаулысы. Оңтүстік Қазақстан облысының Әділет департаментінде 2014 жылғы 18 тамызда № 2778 болып тіркелді. Қолданылу мерзімінің аяқталуына байланысты күші жойылды - (Оңтүстік Қазақстан облысы Сарыағаш ауданы әкімі аппаратының 2015 жылғы 9 қаңтардағы № 59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Қолданылу мерзімінің аяқталуына байланысты күші жойылды - (Оңтүстік Қазақстан облысы Сарыағаш ауданы әкімі аппаратының 09.01.2015 № 59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 қаулысына өзгерістер енгізу туралы» Қазақстан Республикасы Үкіметінің 2014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әкімдігінің 2014 жылғы 20 қаңтардағы № 6 «2014 жылы қоғамдық жұмыстарды жергілікті бюджет қаражаты есебінен ұйымдастыру және оның көлемі туралы» (Нормативтік құқықтық актілерді мемлекеттік тіркеу тізілімінде № 2529 тіркелген, 2014 жылғы 21 ақпанда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Ақы төленетін қоғамдық жұмыстарға қатысатын жұмыссыздарға еңбек заңнамасы, зейнетақымен қамсыздандыру және сақтандыру туралы заңнама қолданылады.».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Ә.Турдалинге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Б.Парманов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