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a27f" w14:textId="b19a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26 маусымдағы № 30/8-05 шешімі. Оңтүстік Қазақстан облысының Әділет департаментінде 2014 жылғы 17 шілдеде № 2714 болып тіркелді. Күшi жойылды - Оңтүстiк Қазақстан облысы Түлкібас аудандық мәслихатының 2017 жылғы 14 сәуiрдегi № 13/2-06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Түлкібас аудандық мәслихатының 14.04.2017 № 13/2-06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2014 жылғы 5 наурыздағы № 185 "Тұрғын үй – 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14-14-172 тіркелген, 2012 жылғы 6 шілдеде "Шамшырақ"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Түлкібас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Уәкілетті орган тұрғын үй көмегін тағайындау үшін қажет құжаттарды берген күннен бастап күнтізбелік он күн ішінде, тұрғын үй көмегін тағайындау немесе тағайындаудан бас тарту жөнінде шешім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М.Қошқаров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