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a229" w14:textId="9e4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2014 жылғы 09 маусымдағы № 326 қаулысы. Шығыс Қазақстан облысының Әділет департаментінде 2014 жылғы 20 маусымда № 3385 болып тіркелді. Күші жойылды - Шығыс Қазақстан облысы Аягөз ауданы әкімдігінің 2015 жылғы 19 қаңтардағы № 17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Аягөз ауданы әкімдігінің 19.01.2015 № 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2005 жылғы 13 сәуiрдегi "Қазақстан Республикасында мүгедектердi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саясатын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асыруды қамтамасыз ету мақсатында,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пайызы мөлшерiнде мүгедектер үшiн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әкiмiнiң орынбасары С. 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