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4b55" w14:textId="10c4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2014 жылғы 28 қазандағы N 346 қаулысы. Шығыс Қазақстан облысының Әділет департаментінде 2014 жылғы 26 қарашада N 3558 болып тіркелді. Күші жойылды - Шығыс Қазақстан облысы Шемонаиха ауданы әкімдігінің 2020 жылғы 22 сәуірдегі № 110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Шемонаиха ауданы әкімдігінің 22.04.2020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он күн өткен соң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2015 жылғы 23 қарашадағы Еңбек кодексінің 139-бабы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"Нормативтік құқықтық актілері туралы"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Шемонаиха ауданының әкімдігі 04.04.2016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64 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Шемонаиха ауданы әкімдігінің 2014 жылғы 17 сәуірдегі № 104 "Азаматтық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2014 жылғы 15 мамырда № 3330 болып тіркелген, "Уба-Информ" газетінде 2014 жылғы 28 мамырдағы № 22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И.Е.Тұрниязға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кейін он күнтізбелік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ауданының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"29" қазан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" 28 "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№346 қаулысына қосымша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мамандарының лауазымдары: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күту бойынша әлеуметтік қызметкер.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Білім беру мамандарының лауазымдары: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мекеменің және қазыналық кәсіпорынның басшысы және басшының орынбасары;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кітапхана меңгерушісі;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мұғалім;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оқытушы;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педагог-психолог;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педагог-ұйымдастырушы;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қосымша білім беру педагогы;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әлеуметтік педагог;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музыкалық жетекші;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тәрбиеші;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аға тәлімгер;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әдіскер;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кітапханашы;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менеджер;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аккомпаниатор;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өндірістік оқыту шебері;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медициналық бике.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Мәдениет мамандарының лауазымдары: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қазыналық мемлекеттік коммуналдық кәсіпорынның басшысы;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музыкалық жетекші;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музыкалық жетекші-аккомпаниатор;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көркемдік жетекші;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әдіскер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аға мәдениұйымдастырушы;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мәдениұйымдастырушы;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мәдениұйымдастырушы-хореограф;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мәдениұйымдастырушы-қоюшы;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мәдениұйымдастырушы-үйірме жетекшісі (хор,топ);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кітапханашы.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Спорт мамандарының лауазымдары: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спорттық қазынашылық кәсіпорынның басшысы және басшының орынбасары;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әдіскер;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нұсқаушы;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жаттықтырушы;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жаттықтырушы-оқытушы;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дәрігер.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Ветеринария мамандарының лауазымдары: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 дәрігері;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ветеринарлық фельдшер.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