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2062" w14:textId="1a32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нарықта сұйытылған мұнай газын көтерме саудада өткізудің шекті бағасын бекіту туралы" Қазақстан Республикасының Энергетика Министрінің 2014 жылғы 15 желтоқсандағы № 208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27 ақпандағы № 156 бұйрығы. Қазақстан Республикасының Әділет министрлігінде 2015 жылы 2 наурызда № 10358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«Ішкі нарықта сұйытылған мұнай газын көтерме саудада өткізудің шекті бағасын бекіту туралы» Қазақстан Республикасының Энергетика Министрінің 2014 жылғы 15 желтоқсандағы № 208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10121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«Сұйытылған мұнай газын ішкі нарықта көтерме саудада өткізудің шекті бағасын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iшкi нарығында сұйытылған мұнай газын көтерме саудада өткiзудiң 2015 жылғы 31 наурызға дейiнгi кезеңге арналған шектi бағасы қосылған құн салығын есепке алмағанда, тоннасына 11 033, 91 теңге (он бір мың отыз үш теңге тоқсан бір тиын) мөлшерiнде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 мерзімді баспасөз басылымдарында және «Әділет» ақпараттық құқықтық жүйесінде ресми жариялауға жолдануын;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Ұлттық экономика министрі</w:t>
      </w:r>
      <w:r>
        <w:br/>
      </w:r>
      <w:r>
        <w:rPr>
          <w:rFonts w:ascii="Times New Roman"/>
          <w:b w:val="false"/>
          <w:i w:val="false"/>
          <w:color w:val="000000"/>
          <w:sz w:val="28"/>
        </w:rPr>
        <w:t>
      _______________Е. Досаев</w:t>
      </w:r>
      <w:r>
        <w:br/>
      </w:r>
      <w:r>
        <w:rPr>
          <w:rFonts w:ascii="Times New Roman"/>
          <w:b w:val="false"/>
          <w:i w:val="false"/>
          <w:color w:val="000000"/>
          <w:sz w:val="28"/>
        </w:rPr>
        <w:t>
      «____» __________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