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3b92" w14:textId="2d83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қызметінің көрсетілген көлемін анықтау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159 бұйрығы. Қазақстан Республикасы Әділет министрлігінде 2015 жылы 1 сәуірде № 10609 тіркелді</w:t>
      </w:r>
    </w:p>
    <w:p>
      <w:pPr>
        <w:spacing w:after="0"/>
        <w:ind w:left="0"/>
        <w:jc w:val="both"/>
      </w:pPr>
      <w:bookmarkStart w:name="z1" w:id="0"/>
      <w:r>
        <w:rPr>
          <w:rFonts w:ascii="Times New Roman"/>
          <w:b w:val="false"/>
          <w:i w:val="false"/>
          <w:color w:val="000000"/>
          <w:sz w:val="28"/>
        </w:rPr>
        <w:t>
      Қазақстан Республикасы Су кодексінің </w:t>
      </w:r>
      <w:r>
        <w:rPr>
          <w:rFonts w:ascii="Times New Roman"/>
          <w:b w:val="false"/>
          <w:i w:val="false"/>
          <w:color w:val="000000"/>
          <w:sz w:val="28"/>
        </w:rPr>
        <w:t>37-1-бабының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«Сумен жабдықтау және су бұру қызметінің көрсетілген көлемін анықтау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7257 тіркелген, 2011 жылғы 16 қарашадағы № 543-547 (26939) «Егеменді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«Сумен жабдықтау және су бұру жөнінде көрсетілген қызметтің көлемін есептеу әдістемесін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берілген Сумен жабдықтау және су бұру жөнінде көрсетілген қызметтің көлемін есептеу әдістемесі бекітілсін»;</w:t>
      </w:r>
      <w:r>
        <w:br/>
      </w:r>
      <w:r>
        <w:rPr>
          <w:rFonts w:ascii="Times New Roman"/>
          <w:b w:val="false"/>
          <w:i w:val="false"/>
          <w:color w:val="000000"/>
          <w:sz w:val="28"/>
        </w:rPr>
        <w:t>
</w:t>
      </w:r>
      <w:r>
        <w:rPr>
          <w:rFonts w:ascii="Times New Roman"/>
          <w:b w:val="false"/>
          <w:i w:val="false"/>
          <w:color w:val="000000"/>
          <w:sz w:val="28"/>
        </w:rPr>
        <w:t>
      «Сумен жабдықтау және су бұру қызметінің көрсетілген көлемін анықтау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бұйрығымен бекітілген Сумен жабдықтау және су бұру жөнінде көрсетілген қызметтің көлемін есептеу </w:t>
      </w:r>
      <w:r>
        <w:rPr>
          <w:rFonts w:ascii="Times New Roman"/>
          <w:b w:val="false"/>
          <w:i w:val="false"/>
          <w:color w:val="000000"/>
          <w:sz w:val="28"/>
        </w:rPr>
        <w:t>әдістемесінде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Сумен жабдықтау жөнінде көрсетілген қызметтің көлемі қызмет көрсетуші пайдалану жауапкершілігін бөлу шекарасында орнатылған және коммерциялық есепке алуға қабылданған есептеу құралының көрсеткіштері бойынша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Елді мекеннің су бұру жүйесіне (қызмет көрсетуші) қосылған, сондай-ақ, әртүрлі сумен жабдықтау көздері бар тұтынушыларға көрсетілген су бұру қызметінің көлемі көрсетілген сумен жабдықтау (ауыз су, ыстық, техникалық) қызметінің көлеміне тең қабылданады.</w:t>
      </w:r>
      <w:r>
        <w:br/>
      </w:r>
      <w:r>
        <w:rPr>
          <w:rFonts w:ascii="Times New Roman"/>
          <w:b w:val="false"/>
          <w:i w:val="false"/>
          <w:color w:val="000000"/>
          <w:sz w:val="28"/>
        </w:rPr>
        <w:t>
</w:t>
      </w:r>
      <w:r>
        <w:rPr>
          <w:rFonts w:ascii="Times New Roman"/>
          <w:b w:val="false"/>
          <w:i w:val="false"/>
          <w:color w:val="000000"/>
          <w:sz w:val="28"/>
        </w:rPr>
        <w:t>
      Елді мекеннің су бұру жүйесіне тікелей қосылмаған, суды тұрмыстық тұтыну үшін қолданатын, сұйық тұрмыстық қалдықтарды шығару және оларды елді мекеннің су бұру жүйесіне төгу үшін арнайы автокөлігінің қызметін пайдаланатын тұтынушыларға көрсетілген су бұру қызметінің көлемі елді мекеннің ағызу пунктінде (станциясында) су бұру жүйесіне қабылданған сарқынды сулардың нақты көлеміне тең қабылданады.</w:t>
      </w:r>
      <w:r>
        <w:br/>
      </w:r>
      <w:r>
        <w:rPr>
          <w:rFonts w:ascii="Times New Roman"/>
          <w:b w:val="false"/>
          <w:i w:val="false"/>
          <w:color w:val="000000"/>
          <w:sz w:val="28"/>
        </w:rPr>
        <w:t>
</w:t>
      </w:r>
      <w:r>
        <w:rPr>
          <w:rFonts w:ascii="Times New Roman"/>
          <w:b w:val="false"/>
          <w:i w:val="false"/>
          <w:color w:val="000000"/>
          <w:sz w:val="28"/>
        </w:rPr>
        <w:t>
      Елді мекеннің (қызмет көрсетушінің) су бұру жүйесінің ағызу пунктінде қабылданған сарқынды сулардың көлемі көлік құралының сыйымдылық көлемі бойынша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7) тармақшасы алынып тасталсын;</w:t>
      </w:r>
      <w:r>
        <w:br/>
      </w:r>
      <w:r>
        <w:rPr>
          <w:rFonts w:ascii="Times New Roman"/>
          <w:b w:val="false"/>
          <w:i w:val="false"/>
          <w:color w:val="000000"/>
          <w:sz w:val="28"/>
        </w:rPr>
        <w:t>
</w:t>
      </w:r>
      <w:r>
        <w:rPr>
          <w:rFonts w:ascii="Times New Roman"/>
          <w:b w:val="false"/>
          <w:i w:val="false"/>
          <w:color w:val="000000"/>
          <w:sz w:val="28"/>
        </w:rPr>
        <w:t>
      мынадай редакциядағы 20-1-тармақпен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«20-1. Ағындысы шұңқырға (септикке) немесе оқшау тазарту құрылыстарына бұрылған және кейін ол тасылып шығарылып, елді мекеннің су бұру жүйесіне ағызылатын тұтынушылардың сарқынды су көлемі, сумен жабдықтау көзінің кімге тиесілі екеніне қарамастан, тұтынылған су (ыстық, техникалық, ауыз су) көлемімен есептеледі және сарқынды суды бұру қызметін көрсетуге арналған шартпен анықталады.».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Қазақстан Республикасның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