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33a1" w14:textId="2c83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декларацияны электрондық құжат түрінде ұсыну, пайдалану және сақтау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30 наурыздағы № 226 бұйрығы. Қазақстан Республикасының Әділет министрлігінде 2015 жылы 29 сәуірде № 10857 тіркелді. Күші жойылды - Қазақстан Республикасы Қаржы министрінің 2018 жылғы 28 қыркүйектегі № 859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28.09.2018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Республикасының 2010 жылғы 30 маусымдағы Кодексінің 281-бабының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Кедендік декларацияны электрондық құжат түрінде ұсыну, пайдалану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өткізгеннен кейін күнтізбелік он күн ішінде мерзімдік баспа басылымдарда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декларацияны электрондық құжат түрінде ұсыну,</w:t>
      </w:r>
      <w:r>
        <w:br/>
      </w:r>
      <w:r>
        <w:rPr>
          <w:rFonts w:ascii="Times New Roman"/>
          <w:b/>
          <w:i w:val="false"/>
          <w:color w:val="000000"/>
        </w:rPr>
        <w:t>пайдалану және сақтау қағидалары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Кедендік декларацияны электрондық құжат түрінде ұсыну, пайдалану және сақтау қағидалары (бұдан әрі – Қағида) кедендік декларацияны электрондық құжат түрінде ұсыну, пайдалану және сақтау тәртібін регламенттеу мақсатында, "Қазақстан Республикасындағы кеден ісі туралы" Қазақстан Республикасының 2010 жылғы 30 маусымдағы Кодексінің 281-бабының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Тауарларды кедендік декларациялау кезінде тауарларға арналған декларация электрондық құжат (бұдан әрі – ТД ЭҚ) түрінде электрондық нысанда пайдаланылады. ТД ЭҚ-да көрсетілуге жататын негізгі мәліметтер Кодекстің 279-бабының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ТД ЭҚ мемлекеттік кірістер органдарының ақпараттық жүйелері (бұдан әрі – МКО АЖ) арқылы қалыптастырылады және беріледі.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Кодекстің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бақылауды жүзеге асыру үшін қажетті тауарларды кедендік декларациялау кезінде декларант не кеден өкілі ұсынатын ТД ЭҚ мен құжаттар Қазақстан Республикасының заңнамасына сәйкес берілген электрондық цифрлық қолтаңбамен (бұдан әрі – ЭЦҚ) куәландырылады және МКО АЖ-да беріледі.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МКО АЖ-да пайдаланушыны авторландыру ЭЦҚ-сы болған кезде "Салық төлеушінің кабинеті" Web-қосымшасы арқылы жүргізіледі. Одан кейінгі барлық іс-қимыл кезінде декларант не кеден өкілі ТД ЭҚ-ға, тауарларға арналған декларациясын түзетудің электрондық көшірмесіне және Қазақстан Республикасының заңнамасына сәйкес МКО АЖ-дағы электрондық түрдегі кедендік құжаттарға қол қою үшін ЭЦҚ-ны пайдаланады.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МКО АЖ "Кедендік декларацияны және кедендік декларацияның нысандарын толтыру жөніндегі нұсқаулық туралы" Кеден одағы комиссиясының 2010 жылғы 20 мамырдағы № 257 шешімімен бекітілген Тауарларға арналған декларацияны толтырудың тәртібі туралы нұсқаулыққа сәйкес ТД ЭҚ-ның бағандары мен жолдарының дұрыс толтыруын форматтық-логикалық бақылауды (бұдан әрі – ФЛБ) жүргізу жолымен автоматты түрде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ФЛБ-да қателер болған кезде МКО АЖ декларантқа не кеден өкіліне қателер туралы хабарламаны жолдайды және ТД ЭҚ пысықтау сатысына қайтарады. ТД ЭҚ ФЛБ-дан сәтті өткен жағдайда декларанттың не кеден өкілінің ЭЦҚ-мен куәландырылады және аумақтық мемлекеттік кірістер органына беріледі.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ТД ЭҚ-да мәлімделген мәліметтерді мемлекеттік кірістер органдары мынадай мақсатта пайдаланады: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төлемдердің және салықтардың өндіріп алуын, олардың дұрыс есептелуіне және уақтылы төленуіне бақылауды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салулар мен шектеулерді қоса алғанда кедендік-тарифтік және тарифтік емес реттеу шараларымен байланысты шарттардың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статистиканы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одағының кеден заңнамасының, Қазақстан Республикасының кеден заңнамасының және олардың орындалуына бақылау мемлекеттік кірістер органдарына жүктелген Қазақстан Республикасының өзге заңнамаларының орындалуын қамтамасыз ету.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МКО АЖ ТД ЭҚ-ның, ТДТ ЭК-ның және декларант пен кеден өкілі Қазақстан Республикасының заңнамасына сәйкес электрондық түрде беретін кедендік құжаттардың Кодекстің 187-бабының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бақылаудағы тауарлардың болуы аяқталған сәттен бастап бес жылдан кем емес сақталуын қамтамасыз етеді.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