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ca1f" w14:textId="5b0c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"Радиотехникалық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173 бұйрығы. Қазақстан Республикасының Әділет министрлігінде 2015 жылы 6 мамырда № 10951 тіркелді. Күші жойылды - Қазақстан Республикасы Денсаулық сақтау министрінің 2018 жылғы 23 сәуірдегі № 188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23.04.2018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"Радиотехникалық объектілерге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мерзімде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173 бұйрығымен бекітілген</w:t>
            </w:r>
          </w:p>
        </w:tc>
      </w:tr>
    </w:tbl>
    <w:bookmarkStart w:name="z10" w:id="8"/>
    <w:p>
      <w:pPr>
        <w:spacing w:after="0"/>
        <w:ind w:left="0"/>
        <w:jc w:val="left"/>
      </w:pPr>
      <w:r>
        <w:rPr>
          <w:rFonts w:ascii="Times New Roman"/>
          <w:b/>
          <w:i w:val="false"/>
          <w:color w:val="000000"/>
        </w:rPr>
        <w:t xml:space="preserve"> "Радиотехникалық объектілерге қойылатын</w:t>
      </w:r>
      <w:r>
        <w:br/>
      </w:r>
      <w:r>
        <w:rPr>
          <w:rFonts w:ascii="Times New Roman"/>
          <w:b/>
          <w:i w:val="false"/>
          <w:color w:val="000000"/>
        </w:rPr>
        <w:t>санитариялық-эпидемиологиялық талаптар" санитариялық</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"Радиотехникалық объектілерге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әзірленген, радиотехникалық объектілерді (бұдан әрі – РТО) күтіп-ұстауға және пайдалануға, оларды орналастыруға, жұмыс жағдайларына, электр магниттік өрістердің (бұдан әрі – ЭМӨ) деңгейлерін бақылауға, РТО тудыратын ЭМӨ-нің адамға қолайсыз әсерінің алдын алу жөніндегі іс-шараларға қойылатын санитариялық-эпидемиологиялық талаптарды айқындайды және қызметі РТО-ны орналастыруға және пайдалануға байланысты жеке және заңды тұлғаларға арналған.</w:t>
      </w:r>
    </w:p>
    <w:bookmarkEnd w:id="9"/>
    <w:bookmarkStart w:name="z12" w:id="10"/>
    <w:p>
      <w:pPr>
        <w:spacing w:after="0"/>
        <w:ind w:left="0"/>
        <w:jc w:val="both"/>
      </w:pPr>
      <w:r>
        <w:rPr>
          <w:rFonts w:ascii="Times New Roman"/>
          <w:b w:val="false"/>
          <w:i w:val="false"/>
          <w:color w:val="000000"/>
          <w:sz w:val="28"/>
        </w:rPr>
        <w:t>
      2. Осы Санитариялық қағидалардың талаптары радиобайланыстың, радио хабарларын таратудың, радиолокацияның, радиобасудың стационарлық РТО тудыратын радиожиілік ауқымындағы (30 килоГерц (бұдан әрі – кГц) 300 ГегаГерц (бұдан әрі – ГГЦ) ЭМӨ-нің адам денсаулығына қолайсыз әсерінің алдын алуға бағытталған. Басқа мақсаттарда қолданылатын радиоэлектрондық құралдарға Санитариялық қағидалардың талаптары егер басқа нормативтік құжаттарда өзгеше айқындалмаса, ЭМӨ әсерінің рұқсат етілетін деңгейлерінің нормативтік мәндерінің саласында пайдаланылады.</w:t>
      </w:r>
    </w:p>
    <w:bookmarkEnd w:id="10"/>
    <w:bookmarkStart w:name="z13" w:id="11"/>
    <w:p>
      <w:pPr>
        <w:spacing w:after="0"/>
        <w:ind w:left="0"/>
        <w:jc w:val="both"/>
      </w:pPr>
      <w:r>
        <w:rPr>
          <w:rFonts w:ascii="Times New Roman"/>
          <w:b w:val="false"/>
          <w:i w:val="false"/>
          <w:color w:val="000000"/>
          <w:sz w:val="28"/>
        </w:rPr>
        <w:t>
      3. Санитариялық қағидалардың талаптары тұрақты немесе уақытша тұрақтарда пайдалану кезінде көлік құралдарына орнатылған РТО қоспағанда, жылжымалы және ұтқыр радиобайланыс құралдарына, абоненттік терминалдарға қолданылмайды.</w:t>
      </w:r>
    </w:p>
    <w:bookmarkEnd w:id="11"/>
    <w:bookmarkStart w:name="z14" w:id="12"/>
    <w:p>
      <w:pPr>
        <w:spacing w:after="0"/>
        <w:ind w:left="0"/>
        <w:jc w:val="both"/>
      </w:pPr>
      <w:r>
        <w:rPr>
          <w:rFonts w:ascii="Times New Roman"/>
          <w:b w:val="false"/>
          <w:i w:val="false"/>
          <w:color w:val="000000"/>
          <w:sz w:val="28"/>
        </w:rPr>
        <w:t xml:space="preserve">
      4. Осы Санитариялық қағидаларда мынадай терминдер мен анықтамалар пайдаланылды: </w:t>
      </w:r>
    </w:p>
    <w:bookmarkEnd w:id="12"/>
    <w:bookmarkStart w:name="z15" w:id="13"/>
    <w:p>
      <w:pPr>
        <w:spacing w:after="0"/>
        <w:ind w:left="0"/>
        <w:jc w:val="both"/>
      </w:pPr>
      <w:r>
        <w:rPr>
          <w:rFonts w:ascii="Times New Roman"/>
          <w:b w:val="false"/>
          <w:i w:val="false"/>
          <w:color w:val="000000"/>
          <w:sz w:val="28"/>
        </w:rPr>
        <w:t>
      1) антенналық-фидер тракті (бұдан әрі – АФТ) – радиосигналды таратқыштан (қабылдағыштан) антеннаның сәуле бөлетін (қабылдайтын) бөлігіне беруге арналған аралық құрылғылар (кабельдер, толқын тасымалдаушылар, қосылыстар);</w:t>
      </w:r>
    </w:p>
    <w:bookmarkEnd w:id="13"/>
    <w:bookmarkStart w:name="z16" w:id="14"/>
    <w:p>
      <w:pPr>
        <w:spacing w:after="0"/>
        <w:ind w:left="0"/>
        <w:jc w:val="both"/>
      </w:pPr>
      <w:r>
        <w:rPr>
          <w:rFonts w:ascii="Times New Roman"/>
          <w:b w:val="false"/>
          <w:i w:val="false"/>
          <w:color w:val="000000"/>
          <w:sz w:val="28"/>
        </w:rPr>
        <w:t>
      2) антеннаның сәулелену қуаты – таратқыш құралдардың антенналық-фидер трактіндегі шығын есепке алынып антеннаға жалғанатын жиынтық қуаттылығы;</w:t>
      </w:r>
    </w:p>
    <w:bookmarkEnd w:id="14"/>
    <w:bookmarkStart w:name="z17" w:id="15"/>
    <w:p>
      <w:pPr>
        <w:spacing w:after="0"/>
        <w:ind w:left="0"/>
        <w:jc w:val="both"/>
      </w:pPr>
      <w:r>
        <w:rPr>
          <w:rFonts w:ascii="Times New Roman"/>
          <w:b w:val="false"/>
          <w:i w:val="false"/>
          <w:color w:val="000000"/>
          <w:sz w:val="28"/>
        </w:rPr>
        <w:t>
      3) бағытталған сәулелену антенналары – тар секторда сәулеленуге арналған (жерсеріктік, радиорелейлік байланыс антенналары және басқалары);</w:t>
      </w:r>
    </w:p>
    <w:bookmarkEnd w:id="15"/>
    <w:bookmarkStart w:name="z18" w:id="16"/>
    <w:p>
      <w:pPr>
        <w:spacing w:after="0"/>
        <w:ind w:left="0"/>
        <w:jc w:val="both"/>
      </w:pPr>
      <w:r>
        <w:rPr>
          <w:rFonts w:ascii="Times New Roman"/>
          <w:b w:val="false"/>
          <w:i w:val="false"/>
          <w:color w:val="000000"/>
          <w:sz w:val="28"/>
        </w:rPr>
        <w:t>
      4) биологиялық қауіпті аймақ (бұдан әрі – БҚА) - шекарасындағы электр магниттік өрістің деңгейі рұқсат етілетін шекті деңгейге (бұдан әрі – РШД) тең радиотаратқыш антенналардың айналасында пайда болатын аймақ;</w:t>
      </w:r>
    </w:p>
    <w:bookmarkEnd w:id="16"/>
    <w:bookmarkStart w:name="z19" w:id="17"/>
    <w:p>
      <w:pPr>
        <w:spacing w:after="0"/>
        <w:ind w:left="0"/>
        <w:jc w:val="both"/>
      </w:pPr>
      <w:r>
        <w:rPr>
          <w:rFonts w:ascii="Times New Roman"/>
          <w:b w:val="false"/>
          <w:i w:val="false"/>
          <w:color w:val="000000"/>
          <w:sz w:val="28"/>
        </w:rPr>
        <w:t>
      5) жиынтық электр магниттік сәуле – бұл бір аумақта орналасқан РТО-ның барлық таратқыш антенналарынан шығатын электр магниттік толқындардың энергетикалық сәулелену жиынтығы;</w:t>
      </w:r>
    </w:p>
    <w:bookmarkEnd w:id="17"/>
    <w:bookmarkStart w:name="z20" w:id="18"/>
    <w:p>
      <w:pPr>
        <w:spacing w:after="0"/>
        <w:ind w:left="0"/>
        <w:jc w:val="both"/>
      </w:pPr>
      <w:r>
        <w:rPr>
          <w:rFonts w:ascii="Times New Roman"/>
          <w:b w:val="false"/>
          <w:i w:val="false"/>
          <w:color w:val="000000"/>
          <w:sz w:val="28"/>
        </w:rPr>
        <w:t xml:space="preserve">
      6) қайталама сәулелену – ЭМӨ-нің әсер ету аймағында орналасқан әртүрлі металл және құрамында металл бар заттармен және конструкциялармен электр магниттік энергияны қайта шығару; </w:t>
      </w:r>
    </w:p>
    <w:bookmarkEnd w:id="18"/>
    <w:bookmarkStart w:name="z21" w:id="19"/>
    <w:p>
      <w:pPr>
        <w:spacing w:after="0"/>
        <w:ind w:left="0"/>
        <w:jc w:val="both"/>
      </w:pPr>
      <w:r>
        <w:rPr>
          <w:rFonts w:ascii="Times New Roman"/>
          <w:b w:val="false"/>
          <w:i w:val="false"/>
          <w:color w:val="000000"/>
          <w:sz w:val="28"/>
        </w:rPr>
        <w:t>
      7) құрылысты шектеу аймағы (бұдан әрі – ҚША) – жер бетінен екі метрден (бұдан әрі – м) артық биіктікте ЭМӨ деңгейлері РШД жоғарылайтын аумақ. ҚША-ның сыртқы шекарасы болашақтағы құрылыс салудың тұрғын ғимараттарының ең жоғарғы биіктігі бойынша, электр магниттік өрістің деңгейі РШД-ден аспайтын жоғарғы қабаттың деңгейінде айқындалады;</w:t>
      </w:r>
    </w:p>
    <w:bookmarkEnd w:id="19"/>
    <w:bookmarkStart w:name="z22" w:id="20"/>
    <w:p>
      <w:pPr>
        <w:spacing w:after="0"/>
        <w:ind w:left="0"/>
        <w:jc w:val="both"/>
      </w:pPr>
      <w:r>
        <w:rPr>
          <w:rFonts w:ascii="Times New Roman"/>
          <w:b w:val="false"/>
          <w:i w:val="false"/>
          <w:color w:val="000000"/>
          <w:sz w:val="28"/>
        </w:rPr>
        <w:t>
      8) радиотехникалық объект – қоршаған ортаға 30 кГц-тен бастап 300 ГГц-ке дейінгі радиожиілік ауқымында электр магниттік технологиялық тербелістер шығаратын объект;</w:t>
      </w:r>
    </w:p>
    <w:bookmarkEnd w:id="20"/>
    <w:bookmarkStart w:name="z23" w:id="21"/>
    <w:p>
      <w:pPr>
        <w:spacing w:after="0"/>
        <w:ind w:left="0"/>
        <w:jc w:val="both"/>
      </w:pPr>
      <w:r>
        <w:rPr>
          <w:rFonts w:ascii="Times New Roman"/>
          <w:b w:val="false"/>
          <w:i w:val="false"/>
          <w:color w:val="000000"/>
          <w:sz w:val="28"/>
        </w:rPr>
        <w:t>
      9) радиоэлектрондық құралдар (бұдан әрі – РЭҚ) – радиотолқындарды беруге және (немесе) қабылдауға арналған және бір немесе бірнеше таратқыш және (немесе) қабылдағыш құрылғылардан немесе қосалқы жабдықты қоса алғанда олардың комбинацияларынан тұратын техникалық құрал;</w:t>
      </w:r>
    </w:p>
    <w:bookmarkEnd w:id="21"/>
    <w:bookmarkStart w:name="z24" w:id="22"/>
    <w:p>
      <w:pPr>
        <w:spacing w:after="0"/>
        <w:ind w:left="0"/>
        <w:jc w:val="both"/>
      </w:pPr>
      <w:r>
        <w:rPr>
          <w:rFonts w:ascii="Times New Roman"/>
          <w:b w:val="false"/>
          <w:i w:val="false"/>
          <w:color w:val="000000"/>
          <w:sz w:val="28"/>
        </w:rPr>
        <w:t>
      10) санитариялық-қорғаныш аймағы (бұдан әрі – СҚА) – сыртқы шекарасында ЭМӨ деңгейлері жер бетінен 2 м биіктікте РШД-ге тең радиотехникалық объектіге жапсарлас орналасқан аумақ;</w:t>
      </w:r>
    </w:p>
    <w:bookmarkEnd w:id="22"/>
    <w:bookmarkStart w:name="z25" w:id="23"/>
    <w:p>
      <w:pPr>
        <w:spacing w:after="0"/>
        <w:ind w:left="0"/>
        <w:jc w:val="both"/>
      </w:pPr>
      <w:r>
        <w:rPr>
          <w:rFonts w:ascii="Times New Roman"/>
          <w:b w:val="false"/>
          <w:i w:val="false"/>
          <w:color w:val="000000"/>
          <w:sz w:val="28"/>
        </w:rPr>
        <w:t xml:space="preserve">
      11) секторлық (панельдік) антенналар – радиотолқындардың белгілі бір секторда сәулеленуіне арналған антенналар (ұялы радиобайланыс, сымсыз радиоға қолжетімділік антенналары және басқалары); </w:t>
      </w:r>
    </w:p>
    <w:bookmarkEnd w:id="23"/>
    <w:bookmarkStart w:name="z26" w:id="24"/>
    <w:p>
      <w:pPr>
        <w:spacing w:after="0"/>
        <w:ind w:left="0"/>
        <w:jc w:val="both"/>
      </w:pPr>
      <w:r>
        <w:rPr>
          <w:rFonts w:ascii="Times New Roman"/>
          <w:b w:val="false"/>
          <w:i w:val="false"/>
          <w:color w:val="000000"/>
          <w:sz w:val="28"/>
        </w:rPr>
        <w:t>
      12) селитебтік аумақ – тұрғын үйлерді, қоғамдық (қоғамдық-іскерлік) және рекреациялық аймақтарды, сондай-ақ орналастырылуы мен қызметі арнайы санитариялық-қорғаныш аймақтарын талап ететін әсері болмайтын инженерлік және көліктік инфрақұрылымдардың жекелеген бөліктерін орналастыруға арналған елді мекен аумағының бір бөлігі;</w:t>
      </w:r>
    </w:p>
    <w:bookmarkEnd w:id="24"/>
    <w:bookmarkStart w:name="z27" w:id="25"/>
    <w:p>
      <w:pPr>
        <w:spacing w:after="0"/>
        <w:ind w:left="0"/>
        <w:jc w:val="both"/>
      </w:pPr>
      <w:r>
        <w:rPr>
          <w:rFonts w:ascii="Times New Roman"/>
          <w:b w:val="false"/>
          <w:i w:val="false"/>
          <w:color w:val="000000"/>
          <w:sz w:val="28"/>
        </w:rPr>
        <w:t xml:space="preserve">
      13) таратқыштың ең көп жұмыс қуаты – таратқыштың АФТ-дағы шығынды есепке алмастан осы жабдықта техникалық қол жетерлік немесе қандай да бір себептерге байланысты шектелген ең көп дамитын қуаты; </w:t>
      </w:r>
    </w:p>
    <w:bookmarkEnd w:id="25"/>
    <w:bookmarkStart w:name="z28" w:id="26"/>
    <w:p>
      <w:pPr>
        <w:spacing w:after="0"/>
        <w:ind w:left="0"/>
        <w:jc w:val="both"/>
      </w:pPr>
      <w:r>
        <w:rPr>
          <w:rFonts w:ascii="Times New Roman"/>
          <w:b w:val="false"/>
          <w:i w:val="false"/>
          <w:color w:val="000000"/>
          <w:sz w:val="28"/>
        </w:rPr>
        <w:t xml:space="preserve">
      14) таратқыштың паспорттық қуаты – таратушы жабдыққа арналған техникалық құжаттамада көрсетілген ең көп ықтимал қуат; </w:t>
      </w:r>
    </w:p>
    <w:bookmarkEnd w:id="26"/>
    <w:bookmarkStart w:name="z29" w:id="27"/>
    <w:p>
      <w:pPr>
        <w:spacing w:after="0"/>
        <w:ind w:left="0"/>
        <w:jc w:val="both"/>
      </w:pPr>
      <w:r>
        <w:rPr>
          <w:rFonts w:ascii="Times New Roman"/>
          <w:b w:val="false"/>
          <w:i w:val="false"/>
          <w:color w:val="000000"/>
          <w:sz w:val="28"/>
        </w:rPr>
        <w:t>
      15) шеңберлік сәулелену антенналары – барлық жаққа тік ось арқылы сәулеленуге арналған (ұйымдардың байланыс антенналары, қайта таратқыштар, телевизиялық, радиохабар тарататын антенналар және басқалары);</w:t>
      </w:r>
    </w:p>
    <w:bookmarkEnd w:id="27"/>
    <w:bookmarkStart w:name="z30" w:id="28"/>
    <w:p>
      <w:pPr>
        <w:spacing w:after="0"/>
        <w:ind w:left="0"/>
        <w:jc w:val="both"/>
      </w:pPr>
      <w:r>
        <w:rPr>
          <w:rFonts w:ascii="Times New Roman"/>
          <w:b w:val="false"/>
          <w:i w:val="false"/>
          <w:color w:val="000000"/>
          <w:sz w:val="28"/>
        </w:rPr>
        <w:t>
      16) электр магниттік сәулелену (бұдан әрі – ЭМС) – табиғи немесе жасанды көздер тудыратын электр магниттік тербелістер;</w:t>
      </w:r>
    </w:p>
    <w:bookmarkEnd w:id="28"/>
    <w:bookmarkStart w:name="z31" w:id="29"/>
    <w:p>
      <w:pPr>
        <w:spacing w:after="0"/>
        <w:ind w:left="0"/>
        <w:jc w:val="both"/>
      </w:pPr>
      <w:r>
        <w:rPr>
          <w:rFonts w:ascii="Times New Roman"/>
          <w:b w:val="false"/>
          <w:i w:val="false"/>
          <w:color w:val="000000"/>
          <w:sz w:val="28"/>
        </w:rPr>
        <w:t>
      17) электр магниттік өріс – электр магниттік тербелістердің көзіне жақын жерде және олардың таралу жолының бойында туындайтын өріс;</w:t>
      </w:r>
    </w:p>
    <w:bookmarkEnd w:id="29"/>
    <w:bookmarkStart w:name="z32" w:id="30"/>
    <w:p>
      <w:pPr>
        <w:spacing w:after="0"/>
        <w:ind w:left="0"/>
        <w:jc w:val="both"/>
      </w:pPr>
      <w:r>
        <w:rPr>
          <w:rFonts w:ascii="Times New Roman"/>
          <w:b w:val="false"/>
          <w:i w:val="false"/>
          <w:color w:val="000000"/>
          <w:sz w:val="28"/>
        </w:rPr>
        <w:t>
      18) энергетикалық жүктеме (доза, экспозиция) – электр магниттік энергияның бір ауысымда әсер ету уақытындағы жиынтық энергетикалық қарқындылығы.</w:t>
      </w:r>
    </w:p>
    <w:bookmarkEnd w:id="30"/>
    <w:bookmarkStart w:name="z33" w:id="31"/>
    <w:p>
      <w:pPr>
        <w:spacing w:after="0"/>
        <w:ind w:left="0"/>
        <w:jc w:val="left"/>
      </w:pPr>
      <w:r>
        <w:rPr>
          <w:rFonts w:ascii="Times New Roman"/>
          <w:b/>
          <w:i w:val="false"/>
          <w:color w:val="000000"/>
        </w:rPr>
        <w:t xml:space="preserve"> 2. Радиотехникалық объектілерді, радиоэлектрондық құралдарды</w:t>
      </w:r>
      <w:r>
        <w:br/>
      </w:r>
      <w:r>
        <w:rPr>
          <w:rFonts w:ascii="Times New Roman"/>
          <w:b/>
          <w:i w:val="false"/>
          <w:color w:val="000000"/>
        </w:rPr>
        <w:t>орналастыруға қойылатын санитариялық-эпидемиологиялық талаптар</w:t>
      </w:r>
    </w:p>
    <w:bookmarkEnd w:id="31"/>
    <w:bookmarkStart w:name="z34" w:id="32"/>
    <w:p>
      <w:pPr>
        <w:spacing w:after="0"/>
        <w:ind w:left="0"/>
        <w:jc w:val="both"/>
      </w:pPr>
      <w:r>
        <w:rPr>
          <w:rFonts w:ascii="Times New Roman"/>
          <w:b w:val="false"/>
          <w:i w:val="false"/>
          <w:color w:val="000000"/>
          <w:sz w:val="28"/>
        </w:rPr>
        <w:t xml:space="preserve">
      5. Радиотехникалық объектілерді салу және оларды пайдалануға беру (жобалау құжаттамасын әзірлеу сатысында, инфрақұрылымы жоқ, жобаланатын РТО-ны (РЭҚ) орналастыруға (қолданыстағы антенна-мачталы құрылыстардағы, ғимараттардың төбелеріндегі байланыс станциялары), іргелес аумақта электр магниттік жағдайға ықпал ететін өзгерістерден кейін (антенналар орналасқан орнының, сәулелену режимдерінің, антенна санының және орналасу биіктігінің өзгеруі) Кодекстің </w:t>
      </w:r>
      <w:r>
        <w:rPr>
          <w:rFonts w:ascii="Times New Roman"/>
          <w:b w:val="false"/>
          <w:i w:val="false"/>
          <w:color w:val="000000"/>
          <w:sz w:val="28"/>
        </w:rPr>
        <w:t>62-бабының</w:t>
      </w:r>
      <w:r>
        <w:rPr>
          <w:rFonts w:ascii="Times New Roman"/>
          <w:b w:val="false"/>
          <w:i w:val="false"/>
          <w:color w:val="000000"/>
          <w:sz w:val="28"/>
        </w:rPr>
        <w:t xml:space="preserve"> 8-тармағына сәйкес </w:t>
      </w:r>
      <w:r>
        <w:rPr>
          <w:rFonts w:ascii="Times New Roman"/>
          <w:b w:val="false"/>
          <w:i w:val="false"/>
          <w:color w:val="000000"/>
          <w:sz w:val="28"/>
        </w:rPr>
        <w:t>берілетін</w:t>
      </w:r>
      <w:r>
        <w:rPr>
          <w:rFonts w:ascii="Times New Roman"/>
          <w:b w:val="false"/>
          <w:i w:val="false"/>
          <w:color w:val="000000"/>
          <w:sz w:val="28"/>
        </w:rPr>
        <w:t xml:space="preserve">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бар болғанда рұқсат етіледі.</w:t>
      </w:r>
    </w:p>
    <w:bookmarkEnd w:id="32"/>
    <w:bookmarkStart w:name="z35" w:id="33"/>
    <w:p>
      <w:pPr>
        <w:spacing w:after="0"/>
        <w:ind w:left="0"/>
        <w:jc w:val="both"/>
      </w:pPr>
      <w:r>
        <w:rPr>
          <w:rFonts w:ascii="Times New Roman"/>
          <w:b w:val="false"/>
          <w:i w:val="false"/>
          <w:color w:val="000000"/>
          <w:sz w:val="28"/>
        </w:rPr>
        <w:t xml:space="preserve">
      6. Санитариялық-эпидемиологиялық қорытынды алуға қажетті мәліметтер мен материалдардың тізбесі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3"/>
    <w:bookmarkStart w:name="z36" w:id="34"/>
    <w:p>
      <w:pPr>
        <w:spacing w:after="0"/>
        <w:ind w:left="0"/>
        <w:jc w:val="both"/>
      </w:pPr>
      <w:r>
        <w:rPr>
          <w:rFonts w:ascii="Times New Roman"/>
          <w:b w:val="false"/>
          <w:i w:val="false"/>
          <w:color w:val="000000"/>
          <w:sz w:val="28"/>
        </w:rPr>
        <w:t>
      7. СҚА-ның, ҚША-ның шекаралары, БҚА-ның өлшемдері есептелген мәліметтер мен материалдарды қарамағында РЭҚ болатын заңды немесе жеке тұлға немесе жобалаушы ұйымдар береді.</w:t>
      </w:r>
    </w:p>
    <w:bookmarkEnd w:id="34"/>
    <w:bookmarkStart w:name="z37" w:id="35"/>
    <w:p>
      <w:pPr>
        <w:spacing w:after="0"/>
        <w:ind w:left="0"/>
        <w:jc w:val="both"/>
      </w:pPr>
      <w:r>
        <w:rPr>
          <w:rFonts w:ascii="Times New Roman"/>
          <w:b w:val="false"/>
          <w:i w:val="false"/>
          <w:color w:val="000000"/>
          <w:sz w:val="28"/>
        </w:rPr>
        <w:t xml:space="preserve">
      8. Радиотехникалық бейіндегі объекті болып табылмайтын объектіде әртүрлі заңды және жеке тұлғаларға тиесілі шеңберлік және секторлық сәулеленудің бірнеше РЭҚ антенналары орналасқан жағдайда әрбір РЭҚ иесіне жеке санитариялық-эпидемиологиялық қорытынды алады. </w:t>
      </w:r>
    </w:p>
    <w:bookmarkEnd w:id="35"/>
    <w:bookmarkStart w:name="z38" w:id="36"/>
    <w:p>
      <w:pPr>
        <w:spacing w:after="0"/>
        <w:ind w:left="0"/>
        <w:jc w:val="both"/>
      </w:pPr>
      <w:r>
        <w:rPr>
          <w:rFonts w:ascii="Times New Roman"/>
          <w:b w:val="false"/>
          <w:i w:val="false"/>
          <w:color w:val="000000"/>
          <w:sz w:val="28"/>
        </w:rPr>
        <w:t>
      9. Мамандандырылған РТО-ға тиесілі объектіде бір немесе түрлі иесі бар бірнеше РЭҚ орналасқан жағдайда осы мекенжай бойынша орналасқан барлық РЭҚ-ті ескере отырып, бірыңғай санитариялық-эпидемиологиялық қорытынды беріледі.</w:t>
      </w:r>
    </w:p>
    <w:bookmarkEnd w:id="36"/>
    <w:bookmarkStart w:name="z39" w:id="37"/>
    <w:p>
      <w:pPr>
        <w:spacing w:after="0"/>
        <w:ind w:left="0"/>
        <w:jc w:val="both"/>
      </w:pPr>
      <w:r>
        <w:rPr>
          <w:rFonts w:ascii="Times New Roman"/>
          <w:b w:val="false"/>
          <w:i w:val="false"/>
          <w:color w:val="000000"/>
          <w:sz w:val="28"/>
        </w:rPr>
        <w:t xml:space="preserve">
      Бұл ретте барлық шеңберлік және секторлық сәулеленудің таратқыш антенналары шығаратын жиынтық электр магниттік сәулеленудің есептеулері беріледі (жобалаушы негіздеген жағдайлары қоспағанда). РЭҚ иелері осындай есептеулерді жүргізуге қажетті деректермен өзара алмасуды қамтамасыз етеді. </w:t>
      </w:r>
    </w:p>
    <w:bookmarkEnd w:id="37"/>
    <w:bookmarkStart w:name="z40" w:id="38"/>
    <w:p>
      <w:pPr>
        <w:spacing w:after="0"/>
        <w:ind w:left="0"/>
        <w:jc w:val="both"/>
      </w:pPr>
      <w:r>
        <w:rPr>
          <w:rFonts w:ascii="Times New Roman"/>
          <w:b w:val="false"/>
          <w:i w:val="false"/>
          <w:color w:val="000000"/>
          <w:sz w:val="28"/>
        </w:rPr>
        <w:t xml:space="preserve">
      10. Бағытталған сәулелену РЭҚ үшін жеке санитариялық-эпидемиологиялық қорытынды ресімделеді. </w:t>
      </w:r>
    </w:p>
    <w:bookmarkEnd w:id="38"/>
    <w:bookmarkStart w:name="z41" w:id="39"/>
    <w:p>
      <w:pPr>
        <w:spacing w:after="0"/>
        <w:ind w:left="0"/>
        <w:jc w:val="both"/>
      </w:pPr>
      <w:r>
        <w:rPr>
          <w:rFonts w:ascii="Times New Roman"/>
          <w:b w:val="false"/>
          <w:i w:val="false"/>
          <w:color w:val="000000"/>
          <w:sz w:val="28"/>
        </w:rPr>
        <w:t>
      11. Бір антеннаға жүргізілген таратқыштардың жиынтық қуаты 1000 Ваттан (бұдан әрі – Вт) артық болатын көлденең жазықтықтағы шеңберлік және секторлық сәулеленудің РЭҚ таратушы антенналарын орналастыру (басты күлтесі тиісті жаққа бағытталғанда) тұрғын үй құрылысының, балалардың, оқу және емдеу-профилактикалық ұйымдардың аумағына дейін, СҚА мен ҚША өлшемдерін есептеу нәтижелері бойынша айқындалатын қашықтықта, бірақ кемінде:</w:t>
      </w:r>
    </w:p>
    <w:bookmarkEnd w:id="39"/>
    <w:bookmarkStart w:name="z42" w:id="40"/>
    <w:p>
      <w:pPr>
        <w:spacing w:after="0"/>
        <w:ind w:left="0"/>
        <w:jc w:val="both"/>
      </w:pPr>
      <w:r>
        <w:rPr>
          <w:rFonts w:ascii="Times New Roman"/>
          <w:b w:val="false"/>
          <w:i w:val="false"/>
          <w:color w:val="000000"/>
          <w:sz w:val="28"/>
        </w:rPr>
        <w:t>
      1) антеннаны жерден 100 м жоғары биіктікте орналастырған кезде – 100 м;</w:t>
      </w:r>
    </w:p>
    <w:bookmarkEnd w:id="40"/>
    <w:bookmarkStart w:name="z43" w:id="41"/>
    <w:p>
      <w:pPr>
        <w:spacing w:after="0"/>
        <w:ind w:left="0"/>
        <w:jc w:val="both"/>
      </w:pPr>
      <w:r>
        <w:rPr>
          <w:rFonts w:ascii="Times New Roman"/>
          <w:b w:val="false"/>
          <w:i w:val="false"/>
          <w:color w:val="000000"/>
          <w:sz w:val="28"/>
        </w:rPr>
        <w:t>
      2) антеннаны 50-ден 100 м дейінгі биіктікте орналастырған кезде – 200 м;</w:t>
      </w:r>
    </w:p>
    <w:bookmarkEnd w:id="41"/>
    <w:bookmarkStart w:name="z44" w:id="42"/>
    <w:p>
      <w:pPr>
        <w:spacing w:after="0"/>
        <w:ind w:left="0"/>
        <w:jc w:val="both"/>
      </w:pPr>
      <w:r>
        <w:rPr>
          <w:rFonts w:ascii="Times New Roman"/>
          <w:b w:val="false"/>
          <w:i w:val="false"/>
          <w:color w:val="000000"/>
          <w:sz w:val="28"/>
        </w:rPr>
        <w:t>
      3) антеннаны кемінде 50 м биіктікте орналастырған кезде – 300 м қашықтықта радиомачталарда жүргізіледі.</w:t>
      </w:r>
    </w:p>
    <w:bookmarkEnd w:id="42"/>
    <w:bookmarkStart w:name="z45" w:id="43"/>
    <w:p>
      <w:pPr>
        <w:spacing w:after="0"/>
        <w:ind w:left="0"/>
        <w:jc w:val="both"/>
      </w:pPr>
      <w:r>
        <w:rPr>
          <w:rFonts w:ascii="Times New Roman"/>
          <w:b w:val="false"/>
          <w:i w:val="false"/>
          <w:color w:val="000000"/>
          <w:sz w:val="28"/>
        </w:rPr>
        <w:t>
      12. Сәулелену қуаты 1000 Вт артық болатын шеңберлік және секторлық сәулеленудің РТО таратушы антенналарын орналастыру (басты күлтесі тиісті жаққа бағытталғанда) тұрғын үй құрылысының, балалардың, оқу және емдеу-профилактикалық ұйымдардың аумағына дейін, СҚА мен ҚША өлшемдерін есептеу нәтижесі бойынша айқындалатын қашықтықта, бірақ кемінде:</w:t>
      </w:r>
    </w:p>
    <w:bookmarkEnd w:id="43"/>
    <w:bookmarkStart w:name="z46" w:id="44"/>
    <w:p>
      <w:pPr>
        <w:spacing w:after="0"/>
        <w:ind w:left="0"/>
        <w:jc w:val="both"/>
      </w:pPr>
      <w:r>
        <w:rPr>
          <w:rFonts w:ascii="Times New Roman"/>
          <w:b w:val="false"/>
          <w:i w:val="false"/>
          <w:color w:val="000000"/>
          <w:sz w:val="28"/>
        </w:rPr>
        <w:t>
      1) антеннаны жерден 100 м жоғары биіктікте орналастырған кезде – 100 м;</w:t>
      </w:r>
    </w:p>
    <w:bookmarkEnd w:id="44"/>
    <w:bookmarkStart w:name="z47" w:id="45"/>
    <w:p>
      <w:pPr>
        <w:spacing w:after="0"/>
        <w:ind w:left="0"/>
        <w:jc w:val="both"/>
      </w:pPr>
      <w:r>
        <w:rPr>
          <w:rFonts w:ascii="Times New Roman"/>
          <w:b w:val="false"/>
          <w:i w:val="false"/>
          <w:color w:val="000000"/>
          <w:sz w:val="28"/>
        </w:rPr>
        <w:t>
      2) антеннаны 50-ден 100 м дейінгі биіктікте орналастырған кезде – 200 м;</w:t>
      </w:r>
    </w:p>
    <w:bookmarkEnd w:id="45"/>
    <w:bookmarkStart w:name="z48" w:id="46"/>
    <w:p>
      <w:pPr>
        <w:spacing w:after="0"/>
        <w:ind w:left="0"/>
        <w:jc w:val="both"/>
      </w:pPr>
      <w:r>
        <w:rPr>
          <w:rFonts w:ascii="Times New Roman"/>
          <w:b w:val="false"/>
          <w:i w:val="false"/>
          <w:color w:val="000000"/>
          <w:sz w:val="28"/>
        </w:rPr>
        <w:t>
      3) антеннаны кемінде 50 м биіктікте орналастырған кезде – 300 м қашықтықта радиомачталарда жүргізіледі.</w:t>
      </w:r>
    </w:p>
    <w:bookmarkEnd w:id="46"/>
    <w:bookmarkStart w:name="z49" w:id="47"/>
    <w:p>
      <w:pPr>
        <w:spacing w:after="0"/>
        <w:ind w:left="0"/>
        <w:jc w:val="both"/>
      </w:pPr>
      <w:r>
        <w:rPr>
          <w:rFonts w:ascii="Times New Roman"/>
          <w:b w:val="false"/>
          <w:i w:val="false"/>
          <w:color w:val="000000"/>
          <w:sz w:val="28"/>
        </w:rPr>
        <w:t xml:space="preserve">
      13. Сәулелену қуаты 100 Вт-тан артық, ауқымы 30 МегаГерцтен (бұдан әрі – МГц) жоғары болатын РТО, РЭҚ таратушы антенналарын тұрғын үйлердің, қоғамдық және әкімшілік ғимараттардың шатырларына орналастыруға жол берілмейді. </w:t>
      </w:r>
    </w:p>
    <w:bookmarkEnd w:id="47"/>
    <w:bookmarkStart w:name="z50" w:id="48"/>
    <w:p>
      <w:pPr>
        <w:spacing w:after="0"/>
        <w:ind w:left="0"/>
        <w:jc w:val="both"/>
      </w:pPr>
      <w:r>
        <w:rPr>
          <w:rFonts w:ascii="Times New Roman"/>
          <w:b w:val="false"/>
          <w:i w:val="false"/>
          <w:color w:val="000000"/>
          <w:sz w:val="28"/>
        </w:rPr>
        <w:t>
      14. Ауқымы 1,8 – 30 МГц радиоәуесқойлық радиостанциялардың, тиімді сәулелену қуаты 100 Вт-тан артық 26,5 – 27,5 МГц жиіліктерінің азаматтық ауқым радиостанцияларының антенналарын орналастыру кезінде антенналарды орнату аймағына оның кез келген нүктесінен кемінде 5 м қашықтықта адамдардың кіруінің мүмкін болмауы қамтамасыз етіледі. Таратқыштарының қуаты 1 килоВаттан (бұдан әрі – кВт) артық болатын ауқымы 3 – 30 МГц таратушы антенналарды тұрғын үйлердің, қоғамдық және әкімшілік ғимараттардың шатырларында орналастыруға жол берілмейді.</w:t>
      </w:r>
    </w:p>
    <w:bookmarkEnd w:id="48"/>
    <w:bookmarkStart w:name="z51" w:id="49"/>
    <w:p>
      <w:pPr>
        <w:spacing w:after="0"/>
        <w:ind w:left="0"/>
        <w:jc w:val="both"/>
      </w:pPr>
      <w:r>
        <w:rPr>
          <w:rFonts w:ascii="Times New Roman"/>
          <w:b w:val="false"/>
          <w:i w:val="false"/>
          <w:color w:val="000000"/>
          <w:sz w:val="28"/>
        </w:rPr>
        <w:t>
      15. Тұрғын үйлердің, қоғамдық және әкімшілік ғимараттардың шатырларының ортасында орналастырылатын көлденең жазықтықтағы 10 градустан артық ең көп сәулелену орнының бұрышы теріс және сәулелену қуаты 25 Вт-тан артық секторлық сәулеленудің РЭҚ антенналары шатыр деңгейінен кемінде 5 м биіктікте орнатылады.</w:t>
      </w:r>
    </w:p>
    <w:bookmarkEnd w:id="49"/>
    <w:bookmarkStart w:name="z52" w:id="50"/>
    <w:p>
      <w:pPr>
        <w:spacing w:after="0"/>
        <w:ind w:left="0"/>
        <w:jc w:val="both"/>
      </w:pPr>
      <w:r>
        <w:rPr>
          <w:rFonts w:ascii="Times New Roman"/>
          <w:b w:val="false"/>
          <w:i w:val="false"/>
          <w:color w:val="000000"/>
          <w:sz w:val="28"/>
        </w:rPr>
        <w:t>
      16. Шеңберлік және секторлық сәулеленудің РЭҚ антенналарын, сондай-ақ спутниктік байланыс станцияларының антенналарын адамдардың болуына арналған ғимараттардың (өндірістік, тұрғын үй және қоғамдық ғимараттар) шатырында, мынадай шарттардың біреуі сақталған жағдайда, орналастыруға жол беріледі:</w:t>
      </w:r>
    </w:p>
    <w:bookmarkEnd w:id="50"/>
    <w:bookmarkStart w:name="z53" w:id="51"/>
    <w:p>
      <w:pPr>
        <w:spacing w:after="0"/>
        <w:ind w:left="0"/>
        <w:jc w:val="both"/>
      </w:pPr>
      <w:r>
        <w:rPr>
          <w:rFonts w:ascii="Times New Roman"/>
          <w:b w:val="false"/>
          <w:i w:val="false"/>
          <w:color w:val="000000"/>
          <w:sz w:val="28"/>
        </w:rPr>
        <w:t>
      1) жоғарғы қабаттың темір-бетон жабынының болуы;</w:t>
      </w:r>
    </w:p>
    <w:bookmarkEnd w:id="51"/>
    <w:bookmarkStart w:name="z54" w:id="52"/>
    <w:p>
      <w:pPr>
        <w:spacing w:after="0"/>
        <w:ind w:left="0"/>
        <w:jc w:val="both"/>
      </w:pPr>
      <w:r>
        <w:rPr>
          <w:rFonts w:ascii="Times New Roman"/>
          <w:b w:val="false"/>
          <w:i w:val="false"/>
          <w:color w:val="000000"/>
          <w:sz w:val="28"/>
        </w:rPr>
        <w:t>
      2) металл шатырдың болуы;</w:t>
      </w:r>
    </w:p>
    <w:bookmarkEnd w:id="52"/>
    <w:bookmarkStart w:name="z55" w:id="53"/>
    <w:p>
      <w:pPr>
        <w:spacing w:after="0"/>
        <w:ind w:left="0"/>
        <w:jc w:val="both"/>
      </w:pPr>
      <w:r>
        <w:rPr>
          <w:rFonts w:ascii="Times New Roman"/>
          <w:b w:val="false"/>
          <w:i w:val="false"/>
          <w:color w:val="000000"/>
          <w:sz w:val="28"/>
        </w:rPr>
        <w:t>
      3) техникалық қабаттың болуы.</w:t>
      </w:r>
    </w:p>
    <w:bookmarkEnd w:id="53"/>
    <w:bookmarkStart w:name="z56" w:id="54"/>
    <w:p>
      <w:pPr>
        <w:spacing w:after="0"/>
        <w:ind w:left="0"/>
        <w:jc w:val="both"/>
      </w:pPr>
      <w:r>
        <w:rPr>
          <w:rFonts w:ascii="Times New Roman"/>
          <w:b w:val="false"/>
          <w:i w:val="false"/>
          <w:color w:val="000000"/>
          <w:sz w:val="28"/>
        </w:rPr>
        <w:t>
      17. Шеңберлік сәулеленудің РЭҚ антенналарын терезелері, балкондары, лоджиялары бар тұрғын, қоғамдық және әкімшілік ғимараттардың қабырғаларына СҚА, ҚША және БҚА есептеу нәтижелеріне қарамастан орналастыруға жол берілмейді.</w:t>
      </w:r>
    </w:p>
    <w:bookmarkEnd w:id="54"/>
    <w:bookmarkStart w:name="z57" w:id="55"/>
    <w:p>
      <w:pPr>
        <w:spacing w:after="0"/>
        <w:ind w:left="0"/>
        <w:jc w:val="both"/>
      </w:pPr>
      <w:r>
        <w:rPr>
          <w:rFonts w:ascii="Times New Roman"/>
          <w:b w:val="false"/>
          <w:i w:val="false"/>
          <w:color w:val="000000"/>
          <w:sz w:val="28"/>
        </w:rPr>
        <w:t>
      18. Сәулелену қуаты 10 Вт-тан аспайтын бағытталған сәулелену антенналарын ғимараттардың негізгі қабырғаларына (кірпіштен, темір-бетоннан жасалған) немесе адамдар болатын үй-жайлармен шектеспейтін негізгі емес қабырғаларға орналастыруға жол беріледі. Антеннадан терезеге, балкондарға, лоджияға дейінгі қашықтық кемінде 3 м құрайды.</w:t>
      </w:r>
    </w:p>
    <w:bookmarkEnd w:id="55"/>
    <w:bookmarkStart w:name="z58" w:id="56"/>
    <w:p>
      <w:pPr>
        <w:spacing w:after="0"/>
        <w:ind w:left="0"/>
        <w:jc w:val="both"/>
      </w:pPr>
      <w:r>
        <w:rPr>
          <w:rFonts w:ascii="Times New Roman"/>
          <w:b w:val="false"/>
          <w:i w:val="false"/>
          <w:color w:val="000000"/>
          <w:sz w:val="28"/>
        </w:rPr>
        <w:t>
      19. Сәулелену қуаттылығы 25 Вт аспайтын секторлық сәулеленудің РЭҚ антенналарын ғимараттардың негізгі қабырғаларына (кірпіштен, темір-бетоннан жасалған) аталған ғимараттың терезелерінен, балкондарынан, лоджияларынан тікелей көрінбейтін жерде орналастыруға жол беріледі.</w:t>
      </w:r>
    </w:p>
    <w:bookmarkEnd w:id="56"/>
    <w:bookmarkStart w:name="z59" w:id="57"/>
    <w:p>
      <w:pPr>
        <w:spacing w:after="0"/>
        <w:ind w:left="0"/>
        <w:jc w:val="both"/>
      </w:pPr>
      <w:r>
        <w:rPr>
          <w:rFonts w:ascii="Times New Roman"/>
          <w:b w:val="false"/>
          <w:i w:val="false"/>
          <w:color w:val="000000"/>
          <w:sz w:val="28"/>
        </w:rPr>
        <w:t xml:space="preserve">
      20. Құрылыстар мен ғимараттардың ішінде арнайы ішкі (indoor) антенналарды ғана орнатуға рұқсат етіледі. </w:t>
      </w:r>
    </w:p>
    <w:bookmarkEnd w:id="57"/>
    <w:bookmarkStart w:name="z60" w:id="58"/>
    <w:p>
      <w:pPr>
        <w:spacing w:after="0"/>
        <w:ind w:left="0"/>
        <w:jc w:val="both"/>
      </w:pPr>
      <w:r>
        <w:rPr>
          <w:rFonts w:ascii="Times New Roman"/>
          <w:b w:val="false"/>
          <w:i w:val="false"/>
          <w:color w:val="000000"/>
          <w:sz w:val="28"/>
        </w:rPr>
        <w:t>
      21. РТО (РЭҚ) жабдықтары бар контейнерлерді тұрғын үй, қоғамдық және жұмыс үй-жайларының ішіне орнатуға рұқсат етілмейді.</w:t>
      </w:r>
    </w:p>
    <w:bookmarkEnd w:id="58"/>
    <w:bookmarkStart w:name="z61" w:id="59"/>
    <w:p>
      <w:pPr>
        <w:spacing w:after="0"/>
        <w:ind w:left="0"/>
        <w:jc w:val="both"/>
      </w:pPr>
      <w:r>
        <w:rPr>
          <w:rFonts w:ascii="Times New Roman"/>
          <w:b w:val="false"/>
          <w:i w:val="false"/>
          <w:color w:val="000000"/>
          <w:sz w:val="28"/>
        </w:rPr>
        <w:t>
      22. СҚА шекаралары жер бетінен 2 м биіктікте белгіленеді. СҚА өлшемі РТО-ның перспективадағы дамуын ескере отырып, антеннаның негізінен есептеледі.</w:t>
      </w:r>
    </w:p>
    <w:bookmarkEnd w:id="59"/>
    <w:bookmarkStart w:name="z62" w:id="60"/>
    <w:p>
      <w:pPr>
        <w:spacing w:after="0"/>
        <w:ind w:left="0"/>
        <w:jc w:val="both"/>
      </w:pPr>
      <w:r>
        <w:rPr>
          <w:rFonts w:ascii="Times New Roman"/>
          <w:b w:val="false"/>
          <w:i w:val="false"/>
          <w:color w:val="000000"/>
          <w:sz w:val="28"/>
        </w:rPr>
        <w:t>
      23. ҚША-ның сыртқы шекараларында бар құрылыстың биіктігіндегі ЭМӨ деңгейінің РШД-ден артуына жол берілмейді. ҚША-ның сыртқы шекарасы қалыптасқан және перспективадағы құрылыс ғимаратының ең жоғары биіктігі бойынша, жер деңгейінен РЭҚ антенналарын орнату биіктігінде перспективадағы құрылыс туралы мәліметтер жоқ болғанда айқындалады.</w:t>
      </w:r>
    </w:p>
    <w:bookmarkEnd w:id="60"/>
    <w:bookmarkStart w:name="z63" w:id="61"/>
    <w:p>
      <w:pPr>
        <w:spacing w:after="0"/>
        <w:ind w:left="0"/>
        <w:jc w:val="both"/>
      </w:pPr>
      <w:r>
        <w:rPr>
          <w:rFonts w:ascii="Times New Roman"/>
          <w:b w:val="false"/>
          <w:i w:val="false"/>
          <w:color w:val="000000"/>
          <w:sz w:val="28"/>
        </w:rPr>
        <w:t xml:space="preserve">
      24. СҚА және ҚША шекаралары ЭМӨ деңгейлеріне аспаптық өлшеулер жүргізілгеннен кейін нақтыланады. Жобаланған РТО үшін осындай нақтылауға негізделген қажеттілік кезінде санитариялық-эпидемиологиялық қорытындының "Ұсыныс" деген бағанына тиісті жазба жасалады. </w:t>
      </w:r>
    </w:p>
    <w:bookmarkEnd w:id="61"/>
    <w:bookmarkStart w:name="z64" w:id="62"/>
    <w:p>
      <w:pPr>
        <w:spacing w:after="0"/>
        <w:ind w:left="0"/>
        <w:jc w:val="both"/>
      </w:pPr>
      <w:r>
        <w:rPr>
          <w:rFonts w:ascii="Times New Roman"/>
          <w:b w:val="false"/>
          <w:i w:val="false"/>
          <w:color w:val="000000"/>
          <w:sz w:val="28"/>
        </w:rPr>
        <w:t>
      25. Бағытталмаған сәулелену антенналарымен жабдықталған таратушы радиостанциялар, телевизия станциялары, сондай-ақ айналма шолу радиолокациялық станциялар үшін СҚА және ҚША РТО-ның айналасына орналастырылады.</w:t>
      </w:r>
    </w:p>
    <w:bookmarkEnd w:id="62"/>
    <w:bookmarkStart w:name="z65" w:id="63"/>
    <w:p>
      <w:pPr>
        <w:spacing w:after="0"/>
        <w:ind w:left="0"/>
        <w:jc w:val="both"/>
      </w:pPr>
      <w:r>
        <w:rPr>
          <w:rFonts w:ascii="Times New Roman"/>
          <w:b w:val="false"/>
          <w:i w:val="false"/>
          <w:color w:val="000000"/>
          <w:sz w:val="28"/>
        </w:rPr>
        <w:t>
      26. Бағытталған әрекеттегі антенналармен жабдықталған таратушы станциялар үшін, сондай-ақ антенналары белгілі бір секторда сканерлейтін немесе бір бағытта тіркелген радиолокациялық станциялар үшін СҚА және ҚША электр магниттік энергияның сәулелену бағытында, бүйірлік және артқы күлтелерді, антенналардың сәулелену бағыттылығының тік және көлденең диаграммалары ескеріле отырып орнатылады.</w:t>
      </w:r>
    </w:p>
    <w:bookmarkEnd w:id="63"/>
    <w:bookmarkStart w:name="z66" w:id="64"/>
    <w:p>
      <w:pPr>
        <w:spacing w:after="0"/>
        <w:ind w:left="0"/>
        <w:jc w:val="both"/>
      </w:pPr>
      <w:r>
        <w:rPr>
          <w:rFonts w:ascii="Times New Roman"/>
          <w:b w:val="false"/>
          <w:i w:val="false"/>
          <w:color w:val="000000"/>
          <w:sz w:val="28"/>
        </w:rPr>
        <w:t>
      27. Антенналары белгілі бір бұрышта көкжиекке электр магниттік энергияны сәулелейтін және ЭМӨ деңгейі биіктікке байланысты өзгеретін таратушы станциялар үшін ҚША іргелес тұрғын үй құрылысы ғимаратының биіктігі шегінде тігінен сәуленің төменгі көлбеуі бойынша дифференциалды орнатылады.</w:t>
      </w:r>
    </w:p>
    <w:bookmarkEnd w:id="64"/>
    <w:bookmarkStart w:name="z67" w:id="65"/>
    <w:p>
      <w:pPr>
        <w:spacing w:after="0"/>
        <w:ind w:left="0"/>
        <w:jc w:val="both"/>
      </w:pPr>
      <w:r>
        <w:rPr>
          <w:rFonts w:ascii="Times New Roman"/>
          <w:b w:val="false"/>
          <w:i w:val="false"/>
          <w:color w:val="000000"/>
          <w:sz w:val="28"/>
        </w:rPr>
        <w:t>
      28. СҚА селитебті аумақ ретінде, тұраққа арналған алаңдарды және көліктің барлық түрлерінің аялдамаларын, автомобильге қызмет көрсететін объектілерді, май құю станцияларын, мұнай және мұнай өнімдерінің қоймаларын орналастыру үшін, өнеркәсіптік алаңды кеңейту үшін, ұжымдық немесе жеке саяжай және бау-бақша учаскелеріне пайдаланылмайды.</w:t>
      </w:r>
    </w:p>
    <w:bookmarkEnd w:id="65"/>
    <w:bookmarkStart w:name="z68" w:id="66"/>
    <w:p>
      <w:pPr>
        <w:spacing w:after="0"/>
        <w:ind w:left="0"/>
        <w:jc w:val="left"/>
      </w:pPr>
      <w:r>
        <w:rPr>
          <w:rFonts w:ascii="Times New Roman"/>
          <w:b/>
          <w:i w:val="false"/>
          <w:color w:val="000000"/>
        </w:rPr>
        <w:t xml:space="preserve"> 3. РТО-ны (РЭҚ) санитариялық-эпидемиологиялық бағалау критерийі</w:t>
      </w:r>
    </w:p>
    <w:bookmarkEnd w:id="66"/>
    <w:bookmarkStart w:name="z69" w:id="67"/>
    <w:p>
      <w:pPr>
        <w:spacing w:after="0"/>
        <w:ind w:left="0"/>
        <w:jc w:val="both"/>
      </w:pPr>
      <w:r>
        <w:rPr>
          <w:rFonts w:ascii="Times New Roman"/>
          <w:b w:val="false"/>
          <w:i w:val="false"/>
          <w:color w:val="000000"/>
          <w:sz w:val="28"/>
        </w:rPr>
        <w:t xml:space="preserve">
      29. Селитебті аумақтағы, демалыс орындарында, тұрғын, қоғамдық және өндірістік үй-жайлардың ішіндегі ЭМӨ РШД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67"/>
    <w:bookmarkStart w:name="z70" w:id="68"/>
    <w:p>
      <w:pPr>
        <w:spacing w:after="0"/>
        <w:ind w:left="0"/>
        <w:jc w:val="both"/>
      </w:pPr>
      <w:r>
        <w:rPr>
          <w:rFonts w:ascii="Times New Roman"/>
          <w:b w:val="false"/>
          <w:i w:val="false"/>
          <w:color w:val="000000"/>
          <w:sz w:val="28"/>
        </w:rPr>
        <w:t xml:space="preserve">
      30. Қызмет көрсететін персоналға РЭҚ тудыратын ЭМӨ әсерін гигиеналық бағалау электр өрісінің энергетикалық жүктемесі, магнит өрісі,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 магнит энергиясы ағынының тығыздығы бойынша жүзеге асырылады.</w:t>
      </w:r>
    </w:p>
    <w:bookmarkEnd w:id="68"/>
    <w:bookmarkStart w:name="z71" w:id="69"/>
    <w:p>
      <w:pPr>
        <w:spacing w:after="0"/>
        <w:ind w:left="0"/>
        <w:jc w:val="both"/>
      </w:pPr>
      <w:r>
        <w:rPr>
          <w:rFonts w:ascii="Times New Roman"/>
          <w:b w:val="false"/>
          <w:i w:val="false"/>
          <w:color w:val="000000"/>
          <w:sz w:val="28"/>
        </w:rPr>
        <w:t>
      31. РШД бірдей белгіленген бірнеше көздерден бір мезгілде сәулеленген кезде электр өрісінің (Е) жиынтық кернеулігі немесе энергия ағынының жиынтық тығыздығы (бұдан әрі – ЭАТ) РШД мәнінен аспауы тиіс:</w:t>
      </w:r>
    </w:p>
    <w:bookmarkEnd w:id="69"/>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жиынт</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Е</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0,5</w:t>
      </w:r>
      <w:r>
        <w:rPr>
          <w:rFonts w:ascii="Times New Roman"/>
          <w:b w:val="false"/>
          <w:i w:val="false"/>
          <w:color w:val="000000"/>
          <w:sz w:val="28"/>
        </w:rPr>
        <w:t xml:space="preserve"> &lt;Е</w:t>
      </w:r>
      <w:r>
        <w:rPr>
          <w:rFonts w:ascii="Times New Roman"/>
          <w:b w:val="false"/>
          <w:i w:val="false"/>
          <w:color w:val="000000"/>
          <w:vertAlign w:val="subscript"/>
        </w:rPr>
        <w:t xml:space="preserve">ршд </w:t>
      </w:r>
      <w:r>
        <w:rPr>
          <w:rFonts w:ascii="Times New Roman"/>
          <w:b w:val="false"/>
          <w:i w:val="false"/>
          <w:color w:val="000000"/>
          <w:sz w:val="28"/>
        </w:rPr>
        <w:t>(1)</w:t>
      </w:r>
    </w:p>
    <w:p>
      <w:pPr>
        <w:spacing w:after="0"/>
        <w:ind w:left="0"/>
        <w:jc w:val="both"/>
      </w:pPr>
      <w:r>
        <w:rPr>
          <w:rFonts w:ascii="Times New Roman"/>
          <w:b w:val="false"/>
          <w:i w:val="false"/>
          <w:color w:val="000000"/>
          <w:sz w:val="28"/>
        </w:rPr>
        <w:t>
      ППЭ</w:t>
      </w:r>
      <w:r>
        <w:rPr>
          <w:rFonts w:ascii="Times New Roman"/>
          <w:b w:val="false"/>
          <w:i w:val="false"/>
          <w:color w:val="000000"/>
          <w:vertAlign w:val="subscript"/>
        </w:rPr>
        <w:t>жиынт</w:t>
      </w:r>
      <w:r>
        <w:rPr>
          <w:rFonts w:ascii="Times New Roman"/>
          <w:b w:val="false"/>
          <w:i w:val="false"/>
          <w:color w:val="000000"/>
          <w:sz w:val="28"/>
        </w:rPr>
        <w:t xml:space="preserve"> = ППЭ</w:t>
      </w:r>
      <w:r>
        <w:rPr>
          <w:rFonts w:ascii="Times New Roman"/>
          <w:b w:val="false"/>
          <w:i w:val="false"/>
          <w:color w:val="000000"/>
          <w:vertAlign w:val="subscript"/>
        </w:rPr>
        <w:t>1</w:t>
      </w:r>
      <w:r>
        <w:rPr>
          <w:rFonts w:ascii="Times New Roman"/>
          <w:b w:val="false"/>
          <w:i w:val="false"/>
          <w:color w:val="000000"/>
          <w:sz w:val="28"/>
        </w:rPr>
        <w:t xml:space="preserve"> + ППЭ</w:t>
      </w:r>
      <w:r>
        <w:rPr>
          <w:rFonts w:ascii="Times New Roman"/>
          <w:b w:val="false"/>
          <w:i w:val="false"/>
          <w:color w:val="000000"/>
          <w:vertAlign w:val="subscript"/>
        </w:rPr>
        <w:t>2</w:t>
      </w:r>
      <w:r>
        <w:rPr>
          <w:rFonts w:ascii="Times New Roman"/>
          <w:b w:val="false"/>
          <w:i w:val="false"/>
          <w:color w:val="000000"/>
          <w:sz w:val="28"/>
        </w:rPr>
        <w:t xml:space="preserve"> + … + ППЭ</w:t>
      </w:r>
      <w:r>
        <w:rPr>
          <w:rFonts w:ascii="Times New Roman"/>
          <w:b w:val="false"/>
          <w:i w:val="false"/>
          <w:color w:val="000000"/>
          <w:vertAlign w:val="subscript"/>
        </w:rPr>
        <w:t>n</w:t>
      </w:r>
      <w:r>
        <w:rPr>
          <w:rFonts w:ascii="Times New Roman"/>
          <w:b w:val="false"/>
          <w:i w:val="false"/>
          <w:color w:val="000000"/>
          <w:sz w:val="28"/>
        </w:rPr>
        <w:t xml:space="preserve"> &lt;ППЭ</w:t>
      </w:r>
      <w:r>
        <w:rPr>
          <w:rFonts w:ascii="Times New Roman"/>
          <w:b w:val="false"/>
          <w:i w:val="false"/>
          <w:color w:val="000000"/>
          <w:vertAlign w:val="subscript"/>
        </w:rPr>
        <w:t>ршд</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Әртүрлі РШД белгіленген бірнеше көздерден бір мезгілде сәулеленген кезде электр өрісінің (бұдан әрі – Е) жиынтық кернеулігі және ЭАТ жиынтық кернеулігі 1,0-ден аспауы тиіс:</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sz w:val="28"/>
        </w:rPr>
        <w:t>/Е</w:t>
      </w:r>
      <w:r>
        <w:rPr>
          <w:rFonts w:ascii="Times New Roman"/>
          <w:b w:val="false"/>
          <w:i w:val="false"/>
          <w:color w:val="000000"/>
          <w:vertAlign w:val="subscript"/>
        </w:rPr>
        <w:t>ршд1</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 … (Е</w:t>
      </w:r>
      <w:r>
        <w:rPr>
          <w:rFonts w:ascii="Times New Roman"/>
          <w:b w:val="false"/>
          <w:i w:val="false"/>
          <w:color w:val="000000"/>
          <w:vertAlign w:val="subscript"/>
        </w:rPr>
        <w:t>n</w:t>
      </w:r>
      <w:r>
        <w:rPr>
          <w:rFonts w:ascii="Times New Roman"/>
          <w:b w:val="false"/>
          <w:i w:val="false"/>
          <w:color w:val="000000"/>
          <w:sz w:val="28"/>
        </w:rPr>
        <w:t>/Е</w:t>
      </w:r>
      <w:r>
        <w:rPr>
          <w:rFonts w:ascii="Times New Roman"/>
          <w:b w:val="false"/>
          <w:i w:val="false"/>
          <w:color w:val="000000"/>
          <w:vertAlign w:val="subscript"/>
        </w:rPr>
        <w:t>ршдn</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+ЭАТ</w:t>
      </w:r>
      <w:r>
        <w:rPr>
          <w:rFonts w:ascii="Times New Roman"/>
          <w:b w:val="false"/>
          <w:i w:val="false"/>
          <w:color w:val="000000"/>
          <w:vertAlign w:val="subscript"/>
        </w:rPr>
        <w:t>1</w:t>
      </w:r>
      <w:r>
        <w:rPr>
          <w:rFonts w:ascii="Times New Roman"/>
          <w:b w:val="false"/>
          <w:i w:val="false"/>
          <w:color w:val="000000"/>
          <w:sz w:val="28"/>
        </w:rPr>
        <w:t>/ЭАТ</w:t>
      </w:r>
      <w:r>
        <w:rPr>
          <w:rFonts w:ascii="Times New Roman"/>
          <w:b w:val="false"/>
          <w:i w:val="false"/>
          <w:color w:val="000000"/>
          <w:vertAlign w:val="subscript"/>
        </w:rPr>
        <w:t>ршд1</w:t>
      </w:r>
      <w:r>
        <w:rPr>
          <w:rFonts w:ascii="Times New Roman"/>
          <w:b w:val="false"/>
          <w:i w:val="false"/>
          <w:color w:val="000000"/>
          <w:sz w:val="28"/>
        </w:rPr>
        <w:t>+ … ЭАТ</w:t>
      </w:r>
      <w:r>
        <w:rPr>
          <w:rFonts w:ascii="Times New Roman"/>
          <w:b w:val="false"/>
          <w:i w:val="false"/>
          <w:color w:val="000000"/>
          <w:vertAlign w:val="subscript"/>
        </w:rPr>
        <w:t>n</w:t>
      </w:r>
      <w:r>
        <w:rPr>
          <w:rFonts w:ascii="Times New Roman"/>
          <w:b w:val="false"/>
          <w:i w:val="false"/>
          <w:color w:val="000000"/>
          <w:sz w:val="28"/>
        </w:rPr>
        <w:t>/ЭАТ</w:t>
      </w:r>
      <w:r>
        <w:rPr>
          <w:rFonts w:ascii="Times New Roman"/>
          <w:b w:val="false"/>
          <w:i w:val="false"/>
          <w:color w:val="000000"/>
          <w:vertAlign w:val="subscript"/>
        </w:rPr>
        <w:t>ршдn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1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1,2,…</w:t>
      </w:r>
      <w:r>
        <w:rPr>
          <w:rFonts w:ascii="Times New Roman"/>
          <w:b w:val="false"/>
          <w:i w:val="false"/>
          <w:color w:val="000000"/>
          <w:vertAlign w:val="subscript"/>
        </w:rPr>
        <w:t xml:space="preserve">,n </w:t>
      </w:r>
      <w:r>
        <w:rPr>
          <w:rFonts w:ascii="Times New Roman"/>
          <w:b w:val="false"/>
          <w:i w:val="false"/>
          <w:color w:val="000000"/>
          <w:sz w:val="28"/>
        </w:rPr>
        <w:t>– (1) формулада – әрбір ЭМӨ көзі жеке түзетін электр өрісінің кернеулігі, метрге вольт (бұдан әрі – В/м); (3) формулада – (1) формула бойынша айқындалған әрбір нормаланған жиілік ауқымындағы электр өрісінің жиынтық кернеулігі, В/м;</w:t>
      </w:r>
    </w:p>
    <w:p>
      <w:pPr>
        <w:spacing w:after="0"/>
        <w:ind w:left="0"/>
        <w:jc w:val="both"/>
      </w:pPr>
      <w:r>
        <w:rPr>
          <w:rFonts w:ascii="Times New Roman"/>
          <w:b w:val="false"/>
          <w:i w:val="false"/>
          <w:color w:val="000000"/>
          <w:sz w:val="28"/>
        </w:rPr>
        <w:t>
      Ершд</w:t>
      </w:r>
      <w:r>
        <w:rPr>
          <w:rFonts w:ascii="Times New Roman"/>
          <w:b w:val="false"/>
          <w:i w:val="false"/>
          <w:color w:val="000000"/>
          <w:vertAlign w:val="subscript"/>
        </w:rPr>
        <w:t>1,2,…</w:t>
      </w:r>
      <w:r>
        <w:rPr>
          <w:rFonts w:ascii="Times New Roman"/>
          <w:b w:val="false"/>
          <w:i w:val="false"/>
          <w:color w:val="000000"/>
          <w:vertAlign w:val="subscript"/>
        </w:rPr>
        <w:t>,n</w:t>
      </w:r>
      <w:r>
        <w:rPr>
          <w:rFonts w:ascii="Times New Roman"/>
          <w:b w:val="false"/>
          <w:i w:val="false"/>
          <w:color w:val="000000"/>
          <w:sz w:val="28"/>
        </w:rPr>
        <w:t xml:space="preserve"> – нормаланған ауқымдағы электр өрісінің шекті рұқсат етілетін кернеулігі, В/м;</w:t>
      </w:r>
    </w:p>
    <w:p>
      <w:pPr>
        <w:spacing w:after="0"/>
        <w:ind w:left="0"/>
        <w:jc w:val="both"/>
      </w:pPr>
      <w:r>
        <w:rPr>
          <w:rFonts w:ascii="Times New Roman"/>
          <w:b w:val="false"/>
          <w:i w:val="false"/>
          <w:color w:val="000000"/>
          <w:sz w:val="28"/>
        </w:rPr>
        <w:t>
      ЭАТ</w:t>
      </w:r>
      <w:r>
        <w:rPr>
          <w:rFonts w:ascii="Times New Roman"/>
          <w:b w:val="false"/>
          <w:i w:val="false"/>
          <w:color w:val="000000"/>
          <w:vertAlign w:val="subscript"/>
        </w:rPr>
        <w:t>1,2,…</w:t>
      </w:r>
      <w:r>
        <w:rPr>
          <w:rFonts w:ascii="Times New Roman"/>
          <w:b w:val="false"/>
          <w:i w:val="false"/>
          <w:color w:val="000000"/>
          <w:vertAlign w:val="subscript"/>
        </w:rPr>
        <w:t xml:space="preserve">,n </w:t>
      </w:r>
      <w:r>
        <w:rPr>
          <w:rFonts w:ascii="Times New Roman"/>
          <w:b w:val="false"/>
          <w:i w:val="false"/>
          <w:color w:val="000000"/>
          <w:sz w:val="28"/>
        </w:rPr>
        <w:t>– (2) формулада – әрбір ЭМӨ көзі жеке шығаратын энергия ағынының тығыздығы, шаршы сантиметрге микроватт (бұдан әрі – мкВт/см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формулада – (2) формула бойынша айқындалған әрбір нормаланған жиілік ауқымындағы энергия ағынының жиынтық тығыздығы, мкВт/см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ЭАТ</w:t>
      </w:r>
      <w:r>
        <w:rPr>
          <w:rFonts w:ascii="Times New Roman"/>
          <w:b w:val="false"/>
          <w:i w:val="false"/>
          <w:color w:val="000000"/>
          <w:vertAlign w:val="subscript"/>
        </w:rPr>
        <w:t>шред</w:t>
      </w:r>
      <w:r>
        <w:rPr>
          <w:rFonts w:ascii="Times New Roman"/>
          <w:b w:val="false"/>
          <w:i w:val="false"/>
          <w:color w:val="000000"/>
          <w:sz w:val="28"/>
        </w:rPr>
        <w:t xml:space="preserve"> – нормаланған ауқымның энергия ағыны тығыздығының шекті рұқсат етілетін деңгейі, мкВт/см</w:t>
      </w:r>
      <w:r>
        <w:rPr>
          <w:rFonts w:ascii="Times New Roman"/>
          <w:b w:val="false"/>
          <w:i w:val="false"/>
          <w:color w:val="000000"/>
          <w:vertAlign w:val="superscript"/>
        </w:rPr>
        <w:t>2</w:t>
      </w:r>
      <w:r>
        <w:rPr>
          <w:rFonts w:ascii="Times New Roman"/>
          <w:b w:val="false"/>
          <w:i w:val="false"/>
          <w:color w:val="000000"/>
          <w:sz w:val="28"/>
        </w:rPr>
        <w:t>.</w:t>
      </w:r>
    </w:p>
    <w:bookmarkStart w:name="z72" w:id="70"/>
    <w:p>
      <w:pPr>
        <w:spacing w:after="0"/>
        <w:ind w:left="0"/>
        <w:jc w:val="both"/>
      </w:pPr>
      <w:r>
        <w:rPr>
          <w:rFonts w:ascii="Times New Roman"/>
          <w:b w:val="false"/>
          <w:i w:val="false"/>
          <w:color w:val="000000"/>
          <w:sz w:val="28"/>
        </w:rPr>
        <w:t>
      32. РЭҚ тудыратын ЭМӨ деңгейлерін бақылау үшін есептеу және аспаптық әдістер пайдаланылады.</w:t>
      </w:r>
    </w:p>
    <w:bookmarkEnd w:id="70"/>
    <w:bookmarkStart w:name="z73" w:id="71"/>
    <w:p>
      <w:pPr>
        <w:spacing w:after="0"/>
        <w:ind w:left="0"/>
        <w:jc w:val="both"/>
      </w:pPr>
      <w:r>
        <w:rPr>
          <w:rFonts w:ascii="Times New Roman"/>
          <w:b w:val="false"/>
          <w:i w:val="false"/>
          <w:color w:val="000000"/>
          <w:sz w:val="28"/>
        </w:rPr>
        <w:t xml:space="preserve">
      33. Есептеу әдістері таратушы құралдардың типтерін, жұмыс жиіліктерін, режимдері мен қуаттарын, параметрлері мен антенналардың кеңістікте орналасуын, жер бедерін, қайта шағылысатын беттердің болуын ескере отырып, жобалық құжаттарды, РТО-ға халықтың санитариялық-эпидемиологиялық саламаттылығы саласындағы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заңнамаға</w:t>
      </w:r>
      <w:r>
        <w:rPr>
          <w:rFonts w:ascii="Times New Roman"/>
          <w:b w:val="false"/>
          <w:i w:val="false"/>
          <w:color w:val="000000"/>
          <w:sz w:val="28"/>
        </w:rPr>
        <w:t xml:space="preserve"> сәйкес берілген санитариялық-эпидемиологиялық </w:t>
      </w:r>
      <w:r>
        <w:rPr>
          <w:rFonts w:ascii="Times New Roman"/>
          <w:b w:val="false"/>
          <w:i w:val="false"/>
          <w:color w:val="000000"/>
          <w:sz w:val="28"/>
        </w:rPr>
        <w:t>қорытындыларды</w:t>
      </w:r>
      <w:r>
        <w:rPr>
          <w:rFonts w:ascii="Times New Roman"/>
          <w:b w:val="false"/>
          <w:i w:val="false"/>
          <w:color w:val="000000"/>
          <w:sz w:val="28"/>
        </w:rPr>
        <w:t xml:space="preserve"> сараптау кезінде пайдаланылады. </w:t>
      </w:r>
    </w:p>
    <w:bookmarkEnd w:id="71"/>
    <w:bookmarkStart w:name="z74" w:id="72"/>
    <w:p>
      <w:pPr>
        <w:spacing w:after="0"/>
        <w:ind w:left="0"/>
        <w:jc w:val="both"/>
      </w:pPr>
      <w:r>
        <w:rPr>
          <w:rFonts w:ascii="Times New Roman"/>
          <w:b w:val="false"/>
          <w:i w:val="false"/>
          <w:color w:val="000000"/>
          <w:sz w:val="28"/>
        </w:rPr>
        <w:t>
      Таратушы антенналардың БҚА шекарасы, қажет болғанда - тік және көлденең жазықтықтардағы ұзындығын және антенналардың орналасу орындарын көрсетіп, жиынтық сәулеленудің БҚА шекарасы (бағдарламалық қамтамасыз ету бар болғанда) есептеледі. ЭМӨ деңгейін СҚА биіктігінде (жерден 2 м) және ҚША (іргелес ғимарат терезесінің деңгейінде) шеңберлік бағытта (шеңберлік сәулелену антенналары үшін) немесе азимутальды бағытта (секторлық және бағытталған антенналар үшін) есептеуге рұқсат етіледі.</w:t>
      </w:r>
    </w:p>
    <w:bookmarkEnd w:id="72"/>
    <w:bookmarkStart w:name="z75" w:id="73"/>
    <w:p>
      <w:pPr>
        <w:spacing w:after="0"/>
        <w:ind w:left="0"/>
        <w:jc w:val="both"/>
      </w:pPr>
      <w:r>
        <w:rPr>
          <w:rFonts w:ascii="Times New Roman"/>
          <w:b w:val="false"/>
          <w:i w:val="false"/>
          <w:color w:val="000000"/>
          <w:sz w:val="28"/>
        </w:rPr>
        <w:t>
      34. Аспаптық әдістер РЭҚ тудыратын ЭМӨ-нің деңгейін бақылау үшін пайдаланылады. Бақылаудың аспаптық әдістерін пайдалану кезінде сәулелендіруші құралдардың ең көп қуатының және режимдерінің тұрақтылығы қамтамасыз етіледі.</w:t>
      </w:r>
    </w:p>
    <w:bookmarkEnd w:id="73"/>
    <w:bookmarkStart w:name="z76" w:id="74"/>
    <w:p>
      <w:pPr>
        <w:spacing w:after="0"/>
        <w:ind w:left="0"/>
        <w:jc w:val="both"/>
      </w:pPr>
      <w:r>
        <w:rPr>
          <w:rFonts w:ascii="Times New Roman"/>
          <w:b w:val="false"/>
          <w:i w:val="false"/>
          <w:color w:val="000000"/>
          <w:sz w:val="28"/>
        </w:rPr>
        <w:t xml:space="preserve">
      35. ЭМӨ деңгейін бақылаудың аспаптық әдісі кезінде </w:t>
      </w:r>
      <w:r>
        <w:rPr>
          <w:rFonts w:ascii="Times New Roman"/>
          <w:b w:val="false"/>
          <w:i w:val="false"/>
          <w:color w:val="000000"/>
          <w:sz w:val="28"/>
        </w:rPr>
        <w:t>мемлекеттік тексеруден</w:t>
      </w:r>
      <w:r>
        <w:rPr>
          <w:rFonts w:ascii="Times New Roman"/>
          <w:b w:val="false"/>
          <w:i w:val="false"/>
          <w:color w:val="000000"/>
          <w:sz w:val="28"/>
        </w:rPr>
        <w:t xml:space="preserve"> өткен және тиісті куәлігі (сертификат) бар өлшеу құралдары пайдаланылады.</w:t>
      </w:r>
    </w:p>
    <w:bookmarkEnd w:id="74"/>
    <w:bookmarkStart w:name="z77" w:id="75"/>
    <w:p>
      <w:pPr>
        <w:spacing w:after="0"/>
        <w:ind w:left="0"/>
        <w:jc w:val="both"/>
      </w:pPr>
      <w:r>
        <w:rPr>
          <w:rFonts w:ascii="Times New Roman"/>
          <w:b w:val="false"/>
          <w:i w:val="false"/>
          <w:color w:val="000000"/>
          <w:sz w:val="28"/>
        </w:rPr>
        <w:t>
      36. РЭҚ-тың ЭМӨ деңгейін аспаптық бақылау:</w:t>
      </w:r>
    </w:p>
    <w:bookmarkEnd w:id="75"/>
    <w:bookmarkStart w:name="z78" w:id="76"/>
    <w:p>
      <w:pPr>
        <w:spacing w:after="0"/>
        <w:ind w:left="0"/>
        <w:jc w:val="both"/>
      </w:pPr>
      <w:r>
        <w:rPr>
          <w:rFonts w:ascii="Times New Roman"/>
          <w:b w:val="false"/>
          <w:i w:val="false"/>
          <w:color w:val="000000"/>
          <w:sz w:val="28"/>
        </w:rPr>
        <w:t>
      1) қолданыстағы және РТО-ны пайдалануға беретін СҚА, ҚША шекараларын нақтылау қажет болғанда;</w:t>
      </w:r>
    </w:p>
    <w:bookmarkEnd w:id="76"/>
    <w:bookmarkStart w:name="z79" w:id="77"/>
    <w:p>
      <w:pPr>
        <w:spacing w:after="0"/>
        <w:ind w:left="0"/>
        <w:jc w:val="both"/>
      </w:pPr>
      <w:r>
        <w:rPr>
          <w:rFonts w:ascii="Times New Roman"/>
          <w:b w:val="false"/>
          <w:i w:val="false"/>
          <w:color w:val="000000"/>
          <w:sz w:val="28"/>
        </w:rPr>
        <w:t>
      2) ЭМӨ деңгейіне әсер ететін (антенналар бағдарының өзгеруі, таратқыштар қуатының көбеюі) РЭҚ жұмыс жағдайы мен режимін өзгерткен кезде;</w:t>
      </w:r>
    </w:p>
    <w:bookmarkEnd w:id="77"/>
    <w:bookmarkStart w:name="z80" w:id="78"/>
    <w:p>
      <w:pPr>
        <w:spacing w:after="0"/>
        <w:ind w:left="0"/>
        <w:jc w:val="both"/>
      </w:pPr>
      <w:r>
        <w:rPr>
          <w:rFonts w:ascii="Times New Roman"/>
          <w:b w:val="false"/>
          <w:i w:val="false"/>
          <w:color w:val="000000"/>
          <w:sz w:val="28"/>
        </w:rPr>
        <w:t>
      3) РЭҚ-қа іргелес аумақтарда жағдайлық жоспарды өзгерткен кезде;</w:t>
      </w:r>
    </w:p>
    <w:bookmarkEnd w:id="78"/>
    <w:bookmarkStart w:name="z81" w:id="7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21-бабының</w:t>
      </w:r>
      <w:r>
        <w:rPr>
          <w:rFonts w:ascii="Times New Roman"/>
          <w:b w:val="false"/>
          <w:i w:val="false"/>
          <w:color w:val="000000"/>
          <w:sz w:val="28"/>
        </w:rPr>
        <w:t xml:space="preserve"> 3, 4-тармақтарына сәйкес РТО операторларына немесе селитебтік аумаққа халықтың санитариялық-эпидемиологиялық саламаттылығы саласындағы мемлекеттік орган ведомствосының аумақтық </w:t>
      </w:r>
      <w:r>
        <w:rPr>
          <w:rFonts w:ascii="Times New Roman"/>
          <w:b w:val="false"/>
          <w:i w:val="false"/>
          <w:color w:val="000000"/>
          <w:sz w:val="28"/>
        </w:rPr>
        <w:t>бөлімшесі</w:t>
      </w:r>
      <w:r>
        <w:rPr>
          <w:rFonts w:ascii="Times New Roman"/>
          <w:b w:val="false"/>
          <w:i w:val="false"/>
          <w:color w:val="000000"/>
          <w:sz w:val="28"/>
        </w:rPr>
        <w:t xml:space="preserve"> тексеру жүргізген кезде;</w:t>
      </w:r>
    </w:p>
    <w:bookmarkEnd w:id="79"/>
    <w:bookmarkStart w:name="z82" w:id="80"/>
    <w:p>
      <w:pPr>
        <w:spacing w:after="0"/>
        <w:ind w:left="0"/>
        <w:jc w:val="both"/>
      </w:pPr>
      <w:r>
        <w:rPr>
          <w:rFonts w:ascii="Times New Roman"/>
          <w:b w:val="false"/>
          <w:i w:val="false"/>
          <w:color w:val="000000"/>
          <w:sz w:val="28"/>
        </w:rPr>
        <w:t>
      5) ЭМӨ деңгейін төмендету бойынша іс-шаралар өткізілгеннен кейін жүргізіледі.</w:t>
      </w:r>
    </w:p>
    <w:bookmarkEnd w:id="80"/>
    <w:bookmarkStart w:name="z83" w:id="81"/>
    <w:p>
      <w:pPr>
        <w:spacing w:after="0"/>
        <w:ind w:left="0"/>
        <w:jc w:val="left"/>
      </w:pPr>
      <w:r>
        <w:rPr>
          <w:rFonts w:ascii="Times New Roman"/>
          <w:b/>
          <w:i w:val="false"/>
          <w:color w:val="000000"/>
        </w:rPr>
        <w:t xml:space="preserve"> 4. РЭҚ тудыратын электр магниттік өрістердің адамға</w:t>
      </w:r>
      <w:r>
        <w:br/>
      </w:r>
      <w:r>
        <w:rPr>
          <w:rFonts w:ascii="Times New Roman"/>
          <w:b/>
          <w:i w:val="false"/>
          <w:color w:val="000000"/>
        </w:rPr>
        <w:t>қолайсыз әсерінің алдын алу жөніндегі іс-шаралар</w:t>
      </w:r>
    </w:p>
    <w:bookmarkEnd w:id="81"/>
    <w:bookmarkStart w:name="z84" w:id="82"/>
    <w:p>
      <w:pPr>
        <w:spacing w:after="0"/>
        <w:ind w:left="0"/>
        <w:jc w:val="both"/>
      </w:pPr>
      <w:r>
        <w:rPr>
          <w:rFonts w:ascii="Times New Roman"/>
          <w:b w:val="false"/>
          <w:i w:val="false"/>
          <w:color w:val="000000"/>
          <w:sz w:val="28"/>
        </w:rPr>
        <w:t>
      37. Жұмыскерлерді ЭМӨ-нің қолайсыз әсерінен қорғауды қамтамасыз ету ұйымдастыру, инженерлік-техникалық және профилактикалық іс-шараларды жүргізу жолымен жүзеге асырылады.</w:t>
      </w:r>
    </w:p>
    <w:bookmarkEnd w:id="82"/>
    <w:bookmarkStart w:name="z85" w:id="83"/>
    <w:p>
      <w:pPr>
        <w:spacing w:after="0"/>
        <w:ind w:left="0"/>
        <w:jc w:val="both"/>
      </w:pPr>
      <w:r>
        <w:rPr>
          <w:rFonts w:ascii="Times New Roman"/>
          <w:b w:val="false"/>
          <w:i w:val="false"/>
          <w:color w:val="000000"/>
          <w:sz w:val="28"/>
        </w:rPr>
        <w:t>
      38. Ұйымдастыру іс-шаралары:</w:t>
      </w:r>
    </w:p>
    <w:bookmarkEnd w:id="83"/>
    <w:bookmarkStart w:name="z86" w:id="84"/>
    <w:p>
      <w:pPr>
        <w:spacing w:after="0"/>
        <w:ind w:left="0"/>
        <w:jc w:val="both"/>
      </w:pPr>
      <w:r>
        <w:rPr>
          <w:rFonts w:ascii="Times New Roman"/>
          <w:b w:val="false"/>
          <w:i w:val="false"/>
          <w:color w:val="000000"/>
          <w:sz w:val="28"/>
        </w:rPr>
        <w:t>
      1) жұмыстың ұтымды режимдерін таңдауды;</w:t>
      </w:r>
    </w:p>
    <w:bookmarkEnd w:id="84"/>
    <w:bookmarkStart w:name="z87" w:id="85"/>
    <w:p>
      <w:pPr>
        <w:spacing w:after="0"/>
        <w:ind w:left="0"/>
        <w:jc w:val="both"/>
      </w:pPr>
      <w:r>
        <w:rPr>
          <w:rFonts w:ascii="Times New Roman"/>
          <w:b w:val="false"/>
          <w:i w:val="false"/>
          <w:color w:val="000000"/>
          <w:sz w:val="28"/>
        </w:rPr>
        <w:t>
      2) ЭМӨ-нің әсер ету жағдайларында персоналдың болу ұзақтығын шектеуді;</w:t>
      </w:r>
    </w:p>
    <w:bookmarkEnd w:id="85"/>
    <w:bookmarkStart w:name="z88" w:id="86"/>
    <w:p>
      <w:pPr>
        <w:spacing w:after="0"/>
        <w:ind w:left="0"/>
        <w:jc w:val="both"/>
      </w:pPr>
      <w:r>
        <w:rPr>
          <w:rFonts w:ascii="Times New Roman"/>
          <w:b w:val="false"/>
          <w:i w:val="false"/>
          <w:color w:val="000000"/>
          <w:sz w:val="28"/>
        </w:rPr>
        <w:t>
      3) ЭМӨ көздерінен қашықтықта, нормативтік талаптарды сақтауды қамтамасыз ететін жұмыс орындарын ұйымдастыруды көздейді.</w:t>
      </w:r>
    </w:p>
    <w:bookmarkEnd w:id="86"/>
    <w:bookmarkStart w:name="z89" w:id="87"/>
    <w:p>
      <w:pPr>
        <w:spacing w:after="0"/>
        <w:ind w:left="0"/>
        <w:jc w:val="both"/>
      </w:pPr>
      <w:r>
        <w:rPr>
          <w:rFonts w:ascii="Times New Roman"/>
          <w:b w:val="false"/>
          <w:i w:val="false"/>
          <w:color w:val="000000"/>
          <w:sz w:val="28"/>
        </w:rPr>
        <w:t>
      39. Инженерлік-техникалық іс-шараларға ЭМӨ көздерін ұтымды орналастыру және ұжымдық және жеке қорғаныш құралдарын қолдану, оның ішінде ЭМӨ көздерін немесе жұмыс орындарын оқшалау кіреді.</w:t>
      </w:r>
    </w:p>
    <w:bookmarkEnd w:id="87"/>
    <w:bookmarkStart w:name="z90" w:id="88"/>
    <w:p>
      <w:pPr>
        <w:spacing w:after="0"/>
        <w:ind w:left="0"/>
        <w:jc w:val="both"/>
      </w:pPr>
      <w:r>
        <w:rPr>
          <w:rFonts w:ascii="Times New Roman"/>
          <w:b w:val="false"/>
          <w:i w:val="false"/>
          <w:color w:val="000000"/>
          <w:sz w:val="28"/>
        </w:rPr>
        <w:t>
      40. РТО орналастырудың барлық жағдайларында оның иесі қоғамдық және өндірістік ғимараттарды жобалау, салу, реконструкциялау және пайдалану сатысында ЭМӨ-ден қорғаудың әртүрлі әдістерін (белсенді емес және белсенді) қолдану мүмкіндігін қарастырады.</w:t>
      </w:r>
    </w:p>
    <w:bookmarkEnd w:id="88"/>
    <w:bookmarkStart w:name="z91" w:id="89"/>
    <w:p>
      <w:pPr>
        <w:spacing w:after="0"/>
        <w:ind w:left="0"/>
        <w:jc w:val="both"/>
      </w:pPr>
      <w:r>
        <w:rPr>
          <w:rFonts w:ascii="Times New Roman"/>
          <w:b w:val="false"/>
          <w:i w:val="false"/>
          <w:color w:val="000000"/>
          <w:sz w:val="28"/>
        </w:rPr>
        <w:t>
      41. Радиожиіліктердің ЭМӨ шағылдыратын экрандары металл табақтардан, торлардан, өткізгіш үлдірлерден, микросымдары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жасалады. Экрандар жерге тұйықталады.</w:t>
      </w:r>
    </w:p>
    <w:bookmarkEnd w:id="89"/>
    <w:bookmarkStart w:name="z92" w:id="90"/>
    <w:p>
      <w:pPr>
        <w:spacing w:after="0"/>
        <w:ind w:left="0"/>
        <w:jc w:val="both"/>
      </w:pPr>
      <w:r>
        <w:rPr>
          <w:rFonts w:ascii="Times New Roman"/>
          <w:b w:val="false"/>
          <w:i w:val="false"/>
          <w:color w:val="000000"/>
          <w:sz w:val="28"/>
        </w:rPr>
        <w:t xml:space="preserve">
      42. РЭҚ-тың ЭМӨ көздерінің әсерімен кәсіби байланысы бар адамдар Кодекстің </w:t>
      </w:r>
      <w:r>
        <w:rPr>
          <w:rFonts w:ascii="Times New Roman"/>
          <w:b w:val="false"/>
          <w:i w:val="false"/>
          <w:color w:val="000000"/>
          <w:sz w:val="28"/>
        </w:rPr>
        <w:t>155-бабының</w:t>
      </w:r>
      <w:r>
        <w:rPr>
          <w:rFonts w:ascii="Times New Roman"/>
          <w:b w:val="false"/>
          <w:i w:val="false"/>
          <w:color w:val="000000"/>
          <w:sz w:val="28"/>
        </w:rPr>
        <w:t xml:space="preserve"> 4-тармағына сәйкес міндетті  </w:t>
      </w:r>
      <w:r>
        <w:rPr>
          <w:rFonts w:ascii="Times New Roman"/>
          <w:b w:val="false"/>
          <w:i w:val="false"/>
          <w:color w:val="000000"/>
          <w:sz w:val="28"/>
        </w:rPr>
        <w:t>медициналық</w:t>
      </w:r>
      <w:r>
        <w:rPr>
          <w:rFonts w:ascii="Times New Roman"/>
          <w:b w:val="false"/>
          <w:i w:val="false"/>
          <w:color w:val="000000"/>
          <w:sz w:val="28"/>
        </w:rPr>
        <w:t xml:space="preserve"> </w:t>
      </w:r>
      <w:r>
        <w:rPr>
          <w:rFonts w:ascii="Times New Roman"/>
          <w:b w:val="false"/>
          <w:i w:val="false"/>
          <w:color w:val="000000"/>
          <w:sz w:val="28"/>
        </w:rPr>
        <w:t>тексеріп-қараулардан</w:t>
      </w:r>
      <w:r>
        <w:rPr>
          <w:rFonts w:ascii="Times New Roman"/>
          <w:b w:val="false"/>
          <w:i w:val="false"/>
          <w:color w:val="000000"/>
          <w:sz w:val="28"/>
        </w:rPr>
        <w:t xml:space="preserve"> өтеді.</w:t>
      </w:r>
    </w:p>
    <w:bookmarkEnd w:id="90"/>
    <w:bookmarkStart w:name="z93" w:id="91"/>
    <w:p>
      <w:pPr>
        <w:spacing w:after="0"/>
        <w:ind w:left="0"/>
        <w:jc w:val="both"/>
      </w:pPr>
      <w:r>
        <w:rPr>
          <w:rFonts w:ascii="Times New Roman"/>
          <w:b w:val="false"/>
          <w:i w:val="false"/>
          <w:color w:val="000000"/>
          <w:sz w:val="28"/>
        </w:rPr>
        <w:t>
      43. РЭҚ-тың антенна жабдығына қызмет көрсетуге тікелей байланысты емес адамдардың таратушы антенналар орналасқан жерлерге кіруіне шектеу қойылады.</w:t>
      </w:r>
    </w:p>
    <w:bookmarkEnd w:id="91"/>
    <w:bookmarkStart w:name="z94" w:id="92"/>
    <w:p>
      <w:pPr>
        <w:spacing w:after="0"/>
        <w:ind w:left="0"/>
        <w:jc w:val="both"/>
      </w:pPr>
      <w:r>
        <w:rPr>
          <w:rFonts w:ascii="Times New Roman"/>
          <w:b w:val="false"/>
          <w:i w:val="false"/>
          <w:color w:val="000000"/>
          <w:sz w:val="28"/>
        </w:rPr>
        <w:t>
      44. Халық үшін ЭМӨ деңгейі РШД-ден асатын және РТО-ға қызмет көрсетуге тікелей байланысты емес адамдардың кіруі мүмкін аумақтар (шатырлардың учаскелері) қоршалады және ескерту белгілерімен белгіленеді. Осы учаскелерде қандай да бір жұмыс жүргізу кезінде РТО таратқыштары ажыратылады.</w:t>
      </w:r>
    </w:p>
    <w:bookmarkEnd w:id="92"/>
    <w:bookmarkStart w:name="z95" w:id="93"/>
    <w:p>
      <w:pPr>
        <w:spacing w:after="0"/>
        <w:ind w:left="0"/>
        <w:jc w:val="both"/>
      </w:pPr>
      <w:r>
        <w:rPr>
          <w:rFonts w:ascii="Times New Roman"/>
          <w:b w:val="false"/>
          <w:i w:val="false"/>
          <w:color w:val="000000"/>
          <w:sz w:val="28"/>
        </w:rPr>
        <w:t xml:space="preserve">
      45. Қолданыстағы объектілер осы Санитариялық қағидалардың талаптарымен сәйкестікке келтіріледі.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97" w:id="94"/>
    <w:p>
      <w:pPr>
        <w:spacing w:after="0"/>
        <w:ind w:left="0"/>
        <w:jc w:val="left"/>
      </w:pPr>
      <w:r>
        <w:rPr>
          <w:rFonts w:ascii="Times New Roman"/>
          <w:b/>
          <w:i w:val="false"/>
          <w:color w:val="000000"/>
        </w:rPr>
        <w:t xml:space="preserve"> Санитариялық-эпидемиологиялық қорытынды алуға</w:t>
      </w:r>
      <w:r>
        <w:br/>
      </w:r>
      <w:r>
        <w:rPr>
          <w:rFonts w:ascii="Times New Roman"/>
          <w:b/>
          <w:i w:val="false"/>
          <w:color w:val="000000"/>
        </w:rPr>
        <w:t>қажетті мәліметтер мен материалдардың тізбесі</w:t>
      </w:r>
      <w:r>
        <w:br/>
      </w:r>
      <w:r>
        <w:rPr>
          <w:rFonts w:ascii="Times New Roman"/>
          <w:b/>
          <w:i w:val="false"/>
          <w:color w:val="000000"/>
        </w:rPr>
        <w:t>1. Жалпы мәліметтер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7132"/>
        <w:gridCol w:w="3026"/>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РТО-ны (РЭҚ) орналастыру мекенжайы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иесінің мекенжайы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иесінің БИН (ЖСН)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(РЭС) иесінің телефоны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пайдалануға берілген жылы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тағайындалуы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орналастыру (дислокация) орны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құрылыстың ең жоғарғы биіктігі (қабаттылығы)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орналасатын ғимараттың тағайындалуы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таратушы антенналар ғимаратта болса</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шатырының түрі (тегіс немесе еңіс/градуспен еңіс/, шатырдың қапталған материалын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антеннасы орналасатын ғимаратта техникалық қабаттың бар болуы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жабынның түрі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төбесінде немесе радиомачтада басқа да таратушы құралдардың бар болуы (операторларды және РЭҚ-ты санамалау)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5"/>
    <w:p>
      <w:pPr>
        <w:spacing w:after="0"/>
        <w:ind w:left="0"/>
        <w:jc w:val="left"/>
      </w:pPr>
      <w:r>
        <w:rPr>
          <w:rFonts w:ascii="Times New Roman"/>
          <w:b/>
          <w:i w:val="false"/>
          <w:color w:val="000000"/>
        </w:rPr>
        <w:t xml:space="preserve"> 2. Антеннаның (антенналардың) техникалық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688"/>
        <w:gridCol w:w="130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Вт-пен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арналған жұмыс жиілілігі (жиіліктердің ауқымы)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күшейту коэффициенті (дБ/рет)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Антенналық-фидер трактінде қуаттың таратуға арналған шығыны (дБ/рет) (егер деректер болмаса, онда фидердің ұзындығын көрсету керек (таратқыштан антеннаға дейін кабельдер), м және фидердегі қуаттың шығыны, (дБ/метр)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тік өлшемі немесе диаметрі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күлте орнының бұрышы градуспен, (яғни, антеннаның тік жазықтықтағы ең көп сәулелену бағытының бұрышы)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ең көп азимуты (айналма жұмыс істейтін антенна үшін 0-360</w:t>
            </w:r>
            <w:r>
              <w:rPr>
                <w:rFonts w:ascii="Times New Roman"/>
                <w:b w:val="false"/>
                <w:i w:val="false"/>
                <w:color w:val="000000"/>
                <w:vertAlign w:val="superscript"/>
              </w:rPr>
              <w:t>0</w:t>
            </w: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РТО-ның сәулеленуге арналған жұмыс режимі (тұрақты, қайталама-қысқа мерзімді, импульстік)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орналастыру орны және түрі (мысалы, "АБК" төбесінде, "техникалық қабаттың қабырғасындағы тіреуіште" және т.б.)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ілгішінің биіктігі метрмен, м:</w:t>
            </w:r>
          </w:p>
          <w:p>
            <w:pPr>
              <w:spacing w:after="20"/>
              <w:ind w:left="20"/>
              <w:jc w:val="both"/>
            </w:pPr>
            <w:r>
              <w:rPr>
                <w:rFonts w:ascii="Times New Roman"/>
                <w:b w:val="false"/>
                <w:i w:val="false"/>
                <w:color w:val="000000"/>
                <w:sz w:val="20"/>
              </w:rPr>
              <w:t>
- жер деңгейінен (әрбір антеннаның фазалық орталығының орналасу биіктігі көрсетіледі)</w:t>
            </w:r>
          </w:p>
          <w:p>
            <w:pPr>
              <w:spacing w:after="20"/>
              <w:ind w:left="20"/>
              <w:jc w:val="both"/>
            </w:pPr>
            <w:r>
              <w:rPr>
                <w:rFonts w:ascii="Times New Roman"/>
                <w:b w:val="false"/>
                <w:i w:val="false"/>
                <w:color w:val="000000"/>
                <w:sz w:val="20"/>
              </w:rPr>
              <w:t>
- шатыр деңгейінен (антенна орналасқан шатырдан немесе жақын орналасқан неғұрлым биік ғимараттың шатыры деңгейінен көрсетіледі)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станциялары үшін қосымша:</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айнасын ашу коэффициенті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жасанды серігі, тұрғын нүктесі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орналасқан орнының географиялық координаттары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 және бойлығы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Радиолокаторлар үшін қосымша:</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импульстік қуаты, Вт немесе кВт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Импульстердің қайталану жиілігі, Гц</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ұзақтығы, сек.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айналу жылдамдығы, айн/мин.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айналатын және сканерлейтін антенналар үшін</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кезеңі, сек.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секторы, 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сканерлейтін антенналар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bookmarkStart w:name="z99" w:id="96"/>
    <w:p>
      <w:pPr>
        <w:spacing w:after="0"/>
        <w:ind w:left="0"/>
        <w:jc w:val="both"/>
      </w:pPr>
      <w:r>
        <w:rPr>
          <w:rFonts w:ascii="Times New Roman"/>
          <w:b w:val="false"/>
          <w:i w:val="false"/>
          <w:color w:val="000000"/>
          <w:sz w:val="28"/>
        </w:rPr>
        <w:t>
      1. 2-бөлімнің деректерін таратушы антенналардың (таратқыштар) әрқайсысы үшін көрсету керек;</w:t>
      </w:r>
    </w:p>
    <w:bookmarkEnd w:id="96"/>
    <w:bookmarkStart w:name="z100" w:id="97"/>
    <w:p>
      <w:pPr>
        <w:spacing w:after="0"/>
        <w:ind w:left="0"/>
        <w:jc w:val="both"/>
      </w:pPr>
      <w:r>
        <w:rPr>
          <w:rFonts w:ascii="Times New Roman"/>
          <w:b w:val="false"/>
          <w:i w:val="false"/>
          <w:color w:val="000000"/>
          <w:sz w:val="28"/>
        </w:rPr>
        <w:t>
      2. Кейбір РЭҚ әсерін бағалау үшін қажетті қосымша деректерді енгізу көзделеді;</w:t>
      </w:r>
    </w:p>
    <w:bookmarkEnd w:id="97"/>
    <w:bookmarkStart w:name="z101" w:id="98"/>
    <w:p>
      <w:pPr>
        <w:spacing w:after="0"/>
        <w:ind w:left="0"/>
        <w:jc w:val="both"/>
      </w:pPr>
      <w:r>
        <w:rPr>
          <w:rFonts w:ascii="Times New Roman"/>
          <w:b w:val="false"/>
          <w:i w:val="false"/>
          <w:color w:val="000000"/>
          <w:sz w:val="28"/>
        </w:rPr>
        <w:t>
      3. Антенналардың тік және көлденең жазықтықтағы сәулелену диаграммалары.</w:t>
      </w:r>
    </w:p>
    <w:bookmarkEnd w:id="98"/>
    <w:bookmarkStart w:name="z102" w:id="99"/>
    <w:p>
      <w:pPr>
        <w:spacing w:after="0"/>
        <w:ind w:left="0"/>
        <w:jc w:val="both"/>
      </w:pPr>
      <w:r>
        <w:rPr>
          <w:rFonts w:ascii="Times New Roman"/>
          <w:b w:val="false"/>
          <w:i w:val="false"/>
          <w:color w:val="000000"/>
          <w:sz w:val="28"/>
        </w:rPr>
        <w:t>
      Ескертпе: диаграммалардың орнына диаграммаларды сипаттайтын есептеу формулаларына нұсқаулар (сілтемелер) беріледі; бірқалыпты айналма сәулелену антенналары үшін көлденең жазықтықтағы сәулелену диаграммасы талап етілмейді.</w:t>
      </w:r>
    </w:p>
    <w:bookmarkEnd w:id="99"/>
    <w:bookmarkStart w:name="z103" w:id="100"/>
    <w:p>
      <w:pPr>
        <w:spacing w:after="0"/>
        <w:ind w:left="0"/>
        <w:jc w:val="both"/>
      </w:pPr>
      <w:r>
        <w:rPr>
          <w:rFonts w:ascii="Times New Roman"/>
          <w:b w:val="false"/>
          <w:i w:val="false"/>
          <w:color w:val="000000"/>
          <w:sz w:val="28"/>
        </w:rPr>
        <w:t>
      4. Іргелес аумақтың жағдайлық жоспары.</w:t>
      </w:r>
    </w:p>
    <w:bookmarkEnd w:id="100"/>
    <w:bookmarkStart w:name="z104" w:id="101"/>
    <w:p>
      <w:pPr>
        <w:spacing w:after="0"/>
        <w:ind w:left="0"/>
        <w:jc w:val="both"/>
      </w:pPr>
      <w:r>
        <w:rPr>
          <w:rFonts w:ascii="Times New Roman"/>
          <w:b w:val="false"/>
          <w:i w:val="false"/>
          <w:color w:val="000000"/>
          <w:sz w:val="28"/>
        </w:rPr>
        <w:t>
      Ескертпе: антенналардың орналасу орнын, құрылыстың қабаттылығын, СҚА мен ҚША (қажеттілігіне қарай) және көшелерге, магистральдарға немесе басқа белгілі бағдарларға байланыстылығын көрсете отырып 1:500 – 1:2000 масштабында. Интернет-сайттардың спутник карталарын және дұрыс карта-схемасын негіз ретінде қолдануға рұқсат етіледі. Белгілі бағдарлар болмағанда жоспарда РТО (РЭҚ) тұрған жерінің географиялық координаттары көрсетіледі.</w:t>
      </w:r>
    </w:p>
    <w:bookmarkEnd w:id="101"/>
    <w:bookmarkStart w:name="z105" w:id="102"/>
    <w:p>
      <w:pPr>
        <w:spacing w:after="0"/>
        <w:ind w:left="0"/>
        <w:jc w:val="both"/>
      </w:pPr>
      <w:r>
        <w:rPr>
          <w:rFonts w:ascii="Times New Roman"/>
          <w:b w:val="false"/>
          <w:i w:val="false"/>
          <w:color w:val="000000"/>
          <w:sz w:val="28"/>
        </w:rPr>
        <w:t>
      5. Антенналарды тік жазықтықта орналастыру схемасы.</w:t>
      </w:r>
    </w:p>
    <w:bookmarkEnd w:id="102"/>
    <w:bookmarkStart w:name="z106" w:id="103"/>
    <w:p>
      <w:pPr>
        <w:spacing w:after="0"/>
        <w:ind w:left="0"/>
        <w:jc w:val="both"/>
      </w:pPr>
      <w:r>
        <w:rPr>
          <w:rFonts w:ascii="Times New Roman"/>
          <w:b w:val="false"/>
          <w:i w:val="false"/>
          <w:color w:val="000000"/>
          <w:sz w:val="28"/>
        </w:rPr>
        <w:t>
      6. РТО (РЭҚ) орналастырудың фотоматериалдары (ұсынылады).</w:t>
      </w:r>
    </w:p>
    <w:bookmarkEnd w:id="103"/>
    <w:bookmarkStart w:name="z107" w:id="104"/>
    <w:p>
      <w:pPr>
        <w:spacing w:after="0"/>
        <w:ind w:left="0"/>
        <w:jc w:val="both"/>
      </w:pPr>
      <w:r>
        <w:rPr>
          <w:rFonts w:ascii="Times New Roman"/>
          <w:b w:val="false"/>
          <w:i w:val="false"/>
          <w:color w:val="000000"/>
          <w:sz w:val="28"/>
        </w:rPr>
        <w:t>
      7. Іргелес аумақтағы электр магниттік өрістің деңгейлерін бөлуді есептеу материалдары (таратушы антенналардан БҚА шекарасын);</w:t>
      </w:r>
    </w:p>
    <w:bookmarkEnd w:id="104"/>
    <w:bookmarkStart w:name="z108" w:id="105"/>
    <w:p>
      <w:pPr>
        <w:spacing w:after="0"/>
        <w:ind w:left="0"/>
        <w:jc w:val="both"/>
      </w:pPr>
      <w:r>
        <w:rPr>
          <w:rFonts w:ascii="Times New Roman"/>
          <w:b w:val="false"/>
          <w:i w:val="false"/>
          <w:color w:val="000000"/>
          <w:sz w:val="28"/>
        </w:rPr>
        <w:t>
      Ескертпе: есептеу материалдарына мыналар кіреді: есептеу тәртібі мен формулаларының сипаттамасы, есептеулері мен графиктері бар тікелей кестелер (БҚА, СҚА, ҚША өлшемдері), қолданылатын автоматтандырылған есептеу бағдарламаларына сілтеме (бар болған кезде), есептеулер нәтижелері және көзделген қорғау (қауіпсіздік) шаралары бойынша іргелес аумақтағы электр магниттік жағдай туралы қорытындылар, есептеу жүргізген ұйым маманының деректері мен қолы.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10" w:id="106"/>
    <w:p>
      <w:pPr>
        <w:spacing w:after="0"/>
        <w:ind w:left="0"/>
        <w:jc w:val="left"/>
      </w:pPr>
      <w:r>
        <w:rPr>
          <w:rFonts w:ascii="Times New Roman"/>
          <w:b/>
          <w:i w:val="false"/>
          <w:color w:val="000000"/>
        </w:rPr>
        <w:t xml:space="preserve"> Селитебті аумақтағы, демалыс орындарындағы, тұрғын, қоғамдық</w:t>
      </w:r>
      <w:r>
        <w:br/>
      </w:r>
      <w:r>
        <w:rPr>
          <w:rFonts w:ascii="Times New Roman"/>
          <w:b/>
          <w:i w:val="false"/>
          <w:color w:val="000000"/>
        </w:rPr>
        <w:t>және өндірістік үй-жайлардың ішіндегі электр магниттік өрістің</w:t>
      </w:r>
      <w:r>
        <w:br/>
      </w:r>
      <w:r>
        <w:rPr>
          <w:rFonts w:ascii="Times New Roman"/>
          <w:b/>
          <w:i w:val="false"/>
          <w:color w:val="000000"/>
        </w:rPr>
        <w:t>рұқсат етілетін шекті деңгейлері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503"/>
        <w:gridCol w:w="2033"/>
        <w:gridCol w:w="1876"/>
        <w:gridCol w:w="2503"/>
        <w:gridCol w:w="2662"/>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кГц</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 МГц</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 МГц</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30 - 300 МГц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0,3 - 300 ГГц</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(Вольт/метр. В/м)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ЭАТ (шаршы сантиметрге микроВатт,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деңгейлер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айналатын және сканерлейтін антенналардан сәулелену жағдайлары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12" w:id="107"/>
    <w:p>
      <w:pPr>
        <w:spacing w:after="0"/>
        <w:ind w:left="0"/>
        <w:jc w:val="left"/>
      </w:pPr>
      <w:r>
        <w:rPr>
          <w:rFonts w:ascii="Times New Roman"/>
          <w:b/>
          <w:i w:val="false"/>
          <w:color w:val="000000"/>
        </w:rPr>
        <w:t xml:space="preserve"> Электр өрісінің, магнит өрісінің, электр магниттік</w:t>
      </w:r>
      <w:r>
        <w:br/>
      </w:r>
      <w:r>
        <w:rPr>
          <w:rFonts w:ascii="Times New Roman"/>
          <w:b/>
          <w:i w:val="false"/>
          <w:color w:val="000000"/>
        </w:rPr>
        <w:t>энергия ағыны тығыздығының энергетикалық жүктемесі</w:t>
      </w:r>
    </w:p>
    <w:bookmarkEnd w:id="107"/>
    <w:p>
      <w:pPr>
        <w:spacing w:after="0"/>
        <w:ind w:left="0"/>
        <w:jc w:val="both"/>
      </w:pPr>
      <w:r>
        <w:rPr>
          <w:rFonts w:ascii="Times New Roman"/>
          <w:b w:val="false"/>
          <w:i w:val="false"/>
          <w:color w:val="000000"/>
          <w:sz w:val="28"/>
        </w:rPr>
        <w:t>
      30 кГц – 300 МегаГерц жиіліктер ауқымындағы энергетикалық жүктеме мынадай формулалар бойынша есептеледі:</w:t>
      </w:r>
    </w:p>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 xml:space="preserve"> = Е</w:t>
      </w:r>
      <w:r>
        <w:rPr>
          <w:rFonts w:ascii="Times New Roman"/>
          <w:b w:val="false"/>
          <w:i w:val="false"/>
          <w:color w:val="000000"/>
          <w:vertAlign w:val="superscript"/>
        </w:rPr>
        <w:t>2</w:t>
      </w:r>
      <w:r>
        <w:rPr>
          <w:rFonts w:ascii="Times New Roman"/>
          <w:b w:val="false"/>
          <w:i w:val="false"/>
          <w:color w:val="000000"/>
          <w:sz w:val="28"/>
        </w:rPr>
        <w:t>*Т; ЭН</w:t>
      </w:r>
      <w:r>
        <w:rPr>
          <w:rFonts w:ascii="Times New Roman"/>
          <w:b w:val="false"/>
          <w:i w:val="false"/>
          <w:color w:val="000000"/>
          <w:vertAlign w:val="subscript"/>
        </w:rPr>
        <w:t>Н</w:t>
      </w:r>
      <w:r>
        <w:rPr>
          <w:rFonts w:ascii="Times New Roman"/>
          <w:b w:val="false"/>
          <w:i w:val="false"/>
          <w:color w:val="000000"/>
          <w:sz w:val="28"/>
        </w:rPr>
        <w:t xml:space="preserve"> = Н</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Т (1)</w:t>
      </w:r>
    </w:p>
    <w:p>
      <w:pPr>
        <w:spacing w:after="0"/>
        <w:ind w:left="0"/>
        <w:jc w:val="both"/>
      </w:pPr>
      <w:r>
        <w:rPr>
          <w:rFonts w:ascii="Times New Roman"/>
          <w:b w:val="false"/>
          <w:i w:val="false"/>
          <w:color w:val="000000"/>
          <w:sz w:val="28"/>
        </w:rPr>
        <w:t>
            мұндағы: Е – электр өрісінің кернеуі, Вольт/метр (бұдан әрі – В/м); Н – магнит өрісінің кернеуі, Ампер/метр (бұдан әрі – А/м); Т – жұмыс ауысымы кезіндегі әсер ету уақыты, сағат.</w:t>
      </w:r>
    </w:p>
    <w:p>
      <w:pPr>
        <w:spacing w:after="0"/>
        <w:ind w:left="0"/>
        <w:jc w:val="both"/>
      </w:pPr>
      <w:r>
        <w:rPr>
          <w:rFonts w:ascii="Times New Roman"/>
          <w:b w:val="false"/>
          <w:i w:val="false"/>
          <w:color w:val="000000"/>
          <w:sz w:val="28"/>
        </w:rPr>
        <w:t>
      0,03 – 3 МГц және 30 - 50 МГц жиіліктер ауқымындағы электр және магнит өрісінің бір уақыттағы әсерін мынадай жағдайда рұқсат етілген деп санау керек:</w:t>
      </w:r>
    </w:p>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 xml:space="preserve"> / ЭН</w:t>
      </w:r>
      <w:r>
        <w:rPr>
          <w:rFonts w:ascii="Times New Roman"/>
          <w:b w:val="false"/>
          <w:i w:val="false"/>
          <w:color w:val="000000"/>
          <w:vertAlign w:val="subscript"/>
        </w:rPr>
        <w:t>Ерш</w:t>
      </w:r>
      <w:r>
        <w:rPr>
          <w:rFonts w:ascii="Times New Roman"/>
          <w:b w:val="false"/>
          <w:i w:val="false"/>
          <w:color w:val="000000"/>
          <w:sz w:val="28"/>
        </w:rPr>
        <w:t>) + (ЭНн / ЭН</w:t>
      </w:r>
      <w:r>
        <w:rPr>
          <w:rFonts w:ascii="Times New Roman"/>
          <w:b w:val="false"/>
          <w:i w:val="false"/>
          <w:color w:val="000000"/>
          <w:vertAlign w:val="subscript"/>
        </w:rPr>
        <w:t>Нрш</w:t>
      </w:r>
      <w:r>
        <w:rPr>
          <w:rFonts w:ascii="Times New Roman"/>
          <w:b w:val="false"/>
          <w:i w:val="false"/>
          <w:color w:val="000000"/>
          <w:sz w:val="28"/>
        </w:rPr>
        <w:t>) &lt; 1 (2)</w:t>
      </w:r>
    </w:p>
    <w:p>
      <w:pPr>
        <w:spacing w:after="0"/>
        <w:ind w:left="0"/>
        <w:jc w:val="both"/>
      </w:pPr>
      <w:r>
        <w:rPr>
          <w:rFonts w:ascii="Times New Roman"/>
          <w:b w:val="false"/>
          <w:i w:val="false"/>
          <w:color w:val="000000"/>
          <w:sz w:val="28"/>
        </w:rPr>
        <w:t>
            мұндағы: ЭЖЕшр, ЭЖНшр – энергетикалық жүктеменің рұқсат етілетін шекті мәндері (қосымшаның кестесі бойынша қабылданады).</w:t>
      </w:r>
    </w:p>
    <w:p>
      <w:pPr>
        <w:spacing w:after="0"/>
        <w:ind w:left="0"/>
        <w:jc w:val="both"/>
      </w:pPr>
      <w:r>
        <w:rPr>
          <w:rFonts w:ascii="Times New Roman"/>
          <w:b w:val="false"/>
          <w:i w:val="false"/>
          <w:color w:val="000000"/>
          <w:sz w:val="28"/>
        </w:rPr>
        <w:t>
      300 МГц - 300 ГигаГерц (бұдан әрі – ГГц) жиіліктер ауқымындағы энергетикалық жүктеме мынадай формула бойынша есептеледі:</w:t>
      </w:r>
    </w:p>
    <w:p>
      <w:pPr>
        <w:spacing w:after="0"/>
        <w:ind w:left="0"/>
        <w:jc w:val="both"/>
      </w:pPr>
      <w:r>
        <w:rPr>
          <w:rFonts w:ascii="Times New Roman"/>
          <w:b w:val="false"/>
          <w:i w:val="false"/>
          <w:color w:val="000000"/>
          <w:sz w:val="28"/>
        </w:rPr>
        <w:t>
      ЭЖ</w:t>
      </w:r>
      <w:r>
        <w:rPr>
          <w:rFonts w:ascii="Times New Roman"/>
          <w:b w:val="false"/>
          <w:i w:val="false"/>
          <w:color w:val="000000"/>
          <w:vertAlign w:val="subscript"/>
        </w:rPr>
        <w:t>ЭАТ</w:t>
      </w:r>
      <w:r>
        <w:rPr>
          <w:rFonts w:ascii="Times New Roman"/>
          <w:b w:val="false"/>
          <w:i w:val="false"/>
          <w:color w:val="000000"/>
          <w:sz w:val="28"/>
        </w:rPr>
        <w:t xml:space="preserve"> = ЭАТ · Т (3)</w:t>
      </w:r>
    </w:p>
    <w:p>
      <w:pPr>
        <w:spacing w:after="0"/>
        <w:ind w:left="0"/>
        <w:jc w:val="both"/>
      </w:pPr>
      <w:r>
        <w:rPr>
          <w:rFonts w:ascii="Times New Roman"/>
          <w:b w:val="false"/>
          <w:i w:val="false"/>
          <w:color w:val="000000"/>
          <w:sz w:val="28"/>
        </w:rPr>
        <w:t>
            мұндағы: ЭАТ – өріс энергиясы ағынының үстіңгі қабатының тығыздығы, шаршы сантиметрге микроВатт (бұдан әрі – Ватт/см</w:t>
      </w:r>
      <w:r>
        <w:rPr>
          <w:rFonts w:ascii="Times New Roman"/>
          <w:b w:val="false"/>
          <w:i w:val="false"/>
          <w:color w:val="000000"/>
          <w:vertAlign w:val="superscript"/>
        </w:rPr>
        <w:t>2</w:t>
      </w:r>
      <w:r>
        <w:rPr>
          <w:rFonts w:ascii="Times New Roman"/>
          <w:b w:val="false"/>
          <w:i w:val="false"/>
          <w:color w:val="000000"/>
          <w:sz w:val="28"/>
        </w:rPr>
        <w:t>); Т – жұмыс ауысымы ішіндегі әсер ету уақыты, сағат.</w:t>
      </w:r>
    </w:p>
    <w:p>
      <w:pPr>
        <w:spacing w:after="0"/>
        <w:ind w:left="0"/>
        <w:jc w:val="both"/>
      </w:pPr>
      <w:r>
        <w:rPr>
          <w:rFonts w:ascii="Times New Roman"/>
          <w:b w:val="false"/>
          <w:i w:val="false"/>
          <w:color w:val="000000"/>
          <w:sz w:val="28"/>
        </w:rPr>
        <w:t>
      Жұмыс орындарындағы Е, Н және ЭАТ рұқсат етілетін шекті мәндерді рұқсат етілетін энергетикалық жүктемеге және әсер ету уақытына қарай мынадай формула бойынша айқындау қажет:</w:t>
      </w:r>
    </w:p>
    <w:p>
      <w:pPr>
        <w:spacing w:after="0"/>
        <w:ind w:left="0"/>
        <w:jc w:val="both"/>
      </w:pPr>
      <w:r>
        <w:rPr>
          <w:rFonts w:ascii="Times New Roman"/>
          <w:b w:val="false"/>
          <w:i w:val="false"/>
          <w:color w:val="000000"/>
          <w:sz w:val="28"/>
        </w:rPr>
        <w:t>
      Ерш = (ЭЖ</w:t>
      </w:r>
      <w:r>
        <w:rPr>
          <w:rFonts w:ascii="Times New Roman"/>
          <w:b w:val="false"/>
          <w:i w:val="false"/>
          <w:color w:val="000000"/>
          <w:vertAlign w:val="subscript"/>
        </w:rPr>
        <w:t>Ерш</w:t>
      </w:r>
      <w:r>
        <w:rPr>
          <w:rFonts w:ascii="Times New Roman"/>
          <w:b w:val="false"/>
          <w:i w:val="false"/>
          <w:color w:val="000000"/>
          <w:sz w:val="28"/>
        </w:rPr>
        <w:t xml:space="preserve"> / Т)</w:t>
      </w:r>
      <w:r>
        <w:rPr>
          <w:rFonts w:ascii="Times New Roman"/>
          <w:b w:val="false"/>
          <w:i w:val="false"/>
          <w:color w:val="000000"/>
          <w:vertAlign w:val="superscript"/>
        </w:rPr>
        <w:t>0,5</w:t>
      </w:r>
      <w:r>
        <w:rPr>
          <w:rFonts w:ascii="Times New Roman"/>
          <w:b w:val="false"/>
          <w:i w:val="false"/>
          <w:color w:val="000000"/>
          <w:sz w:val="28"/>
        </w:rPr>
        <w:t>; Нрш = (ЭЖН</w:t>
      </w:r>
      <w:r>
        <w:rPr>
          <w:rFonts w:ascii="Times New Roman"/>
          <w:b w:val="false"/>
          <w:i w:val="false"/>
          <w:color w:val="000000"/>
          <w:vertAlign w:val="subscript"/>
        </w:rPr>
        <w:t>рш</w:t>
      </w:r>
      <w:r>
        <w:rPr>
          <w:rFonts w:ascii="Times New Roman"/>
          <w:b w:val="false"/>
          <w:i w:val="false"/>
          <w:color w:val="000000"/>
          <w:sz w:val="28"/>
        </w:rPr>
        <w:t xml:space="preserve"> /Т)0,5; АЭТрш = К·ЭЖ</w:t>
      </w:r>
      <w:r>
        <w:rPr>
          <w:rFonts w:ascii="Times New Roman"/>
          <w:b w:val="false"/>
          <w:i w:val="false"/>
          <w:color w:val="000000"/>
          <w:vertAlign w:val="subscript"/>
        </w:rPr>
        <w:t>эатрш</w:t>
      </w:r>
      <w:r>
        <w:rPr>
          <w:rFonts w:ascii="Times New Roman"/>
          <w:b w:val="false"/>
          <w:i w:val="false"/>
          <w:color w:val="000000"/>
          <w:sz w:val="28"/>
        </w:rPr>
        <w:t>/Т (4)</w:t>
      </w:r>
    </w:p>
    <w:p>
      <w:pPr>
        <w:spacing w:after="0"/>
        <w:ind w:left="0"/>
        <w:jc w:val="both"/>
      </w:pPr>
      <w:r>
        <w:rPr>
          <w:rFonts w:ascii="Times New Roman"/>
          <w:b w:val="false"/>
          <w:i w:val="false"/>
          <w:color w:val="000000"/>
          <w:sz w:val="28"/>
        </w:rPr>
        <w:t>
      мұндағы: Ерш, Нрш, ЭАТрш – электр В/м, магнит А/м өрістерінің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sz w:val="28"/>
        </w:rPr>
        <w:t xml:space="preserve"> рұқсат етілетін шекті мәндері; ЭЖ</w:t>
      </w:r>
      <w:r>
        <w:rPr>
          <w:rFonts w:ascii="Times New Roman"/>
          <w:b w:val="false"/>
          <w:i w:val="false"/>
          <w:color w:val="000000"/>
          <w:vertAlign w:val="subscript"/>
        </w:rPr>
        <w:t>Ерш</w:t>
      </w:r>
      <w:r>
        <w:rPr>
          <w:rFonts w:ascii="Times New Roman"/>
          <w:b w:val="false"/>
          <w:i w:val="false"/>
          <w:color w:val="000000"/>
          <w:sz w:val="28"/>
        </w:rPr>
        <w:t>, ЭЖ</w:t>
      </w:r>
      <w:r>
        <w:rPr>
          <w:rFonts w:ascii="Times New Roman"/>
          <w:b w:val="false"/>
          <w:i w:val="false"/>
          <w:color w:val="000000"/>
          <w:vertAlign w:val="subscript"/>
        </w:rPr>
        <w:t>Нрш</w:t>
      </w:r>
      <w:r>
        <w:rPr>
          <w:rFonts w:ascii="Times New Roman"/>
          <w:b w:val="false"/>
          <w:i w:val="false"/>
          <w:color w:val="000000"/>
          <w:sz w:val="28"/>
        </w:rPr>
        <w:t>, ЭЖ</w:t>
      </w:r>
      <w:r>
        <w:rPr>
          <w:rFonts w:ascii="Times New Roman"/>
          <w:b w:val="false"/>
          <w:i w:val="false"/>
          <w:color w:val="000000"/>
          <w:vertAlign w:val="subscript"/>
        </w:rPr>
        <w:t>эатрш</w:t>
      </w:r>
      <w:r>
        <w:rPr>
          <w:rFonts w:ascii="Times New Roman"/>
          <w:b w:val="false"/>
          <w:i w:val="false"/>
          <w:color w:val="000000"/>
          <w:sz w:val="28"/>
        </w:rPr>
        <w:t xml:space="preserve"> – энергетикалық жүктеменің рұқсат етілетін шекті мәндері (1-кесте бойынша қабылданады); К – биологиялық тиімділіктің бәсеңдеу коэффициенті, мынаған тең: 10 – айналатын және сканерлейтін антенналардан сәулелену үшін және 1 – қалған жағдайларда.</w:t>
      </w:r>
    </w:p>
    <w:p>
      <w:pPr>
        <w:spacing w:after="0"/>
        <w:ind w:left="0"/>
        <w:jc w:val="both"/>
      </w:pPr>
      <w:r>
        <w:rPr>
          <w:rFonts w:ascii="Times New Roman"/>
          <w:b w:val="false"/>
          <w:i w:val="false"/>
          <w:color w:val="000000"/>
          <w:sz w:val="28"/>
        </w:rPr>
        <w:t>
      Ескертпе: егер алынған мәндер 1-кестеде көрсетілген Ерш, Нрш, ЭАТрш ең жоғарғы мәндерінен асатын болса, рұқсат етілетін шекті мән ретінде соңғылар қабылданады.</w:t>
      </w:r>
    </w:p>
    <w:p>
      <w:pPr>
        <w:spacing w:after="0"/>
        <w:ind w:left="0"/>
        <w:jc w:val="both"/>
      </w:pPr>
      <w:r>
        <w:rPr>
          <w:rFonts w:ascii="Times New Roman"/>
          <w:b w:val="false"/>
          <w:i w:val="false"/>
          <w:color w:val="000000"/>
          <w:sz w:val="28"/>
        </w:rPr>
        <w:t>
      ЭМС қарқындылығына байланысты рұқсат етілетін әсер ету уақыты мынадай формулалар бойынша айқындалады:</w:t>
      </w:r>
    </w:p>
    <w:p>
      <w:pPr>
        <w:spacing w:after="0"/>
        <w:ind w:left="0"/>
        <w:jc w:val="both"/>
      </w:pPr>
      <w:r>
        <w:rPr>
          <w:rFonts w:ascii="Times New Roman"/>
          <w:b w:val="false"/>
          <w:i w:val="false"/>
          <w:color w:val="000000"/>
          <w:sz w:val="28"/>
        </w:rPr>
        <w:t>
      Т=ЭЖ</w:t>
      </w:r>
      <w:r>
        <w:rPr>
          <w:rFonts w:ascii="Times New Roman"/>
          <w:b w:val="false"/>
          <w:i w:val="false"/>
          <w:color w:val="000000"/>
          <w:vertAlign w:val="subscript"/>
        </w:rPr>
        <w:t>Ерш</w:t>
      </w:r>
      <w:r>
        <w:rPr>
          <w:rFonts w:ascii="Times New Roman"/>
          <w:b w:val="false"/>
          <w:i w:val="false"/>
          <w:color w:val="000000"/>
          <w:sz w:val="28"/>
        </w:rPr>
        <w:t xml:space="preserve"> /Е</w:t>
      </w:r>
      <w:r>
        <w:rPr>
          <w:rFonts w:ascii="Times New Roman"/>
          <w:b w:val="false"/>
          <w:i w:val="false"/>
          <w:color w:val="000000"/>
          <w:vertAlign w:val="superscript"/>
        </w:rPr>
        <w:t>2</w:t>
      </w:r>
      <w:r>
        <w:rPr>
          <w:rFonts w:ascii="Times New Roman"/>
          <w:b w:val="false"/>
          <w:i w:val="false"/>
          <w:color w:val="000000"/>
          <w:sz w:val="28"/>
        </w:rPr>
        <w:t>; ЭЖн</w:t>
      </w:r>
      <w:r>
        <w:rPr>
          <w:rFonts w:ascii="Times New Roman"/>
          <w:b w:val="false"/>
          <w:i w:val="false"/>
          <w:color w:val="000000"/>
          <w:vertAlign w:val="subscript"/>
        </w:rPr>
        <w:t>рш</w:t>
      </w:r>
      <w:r>
        <w:rPr>
          <w:rFonts w:ascii="Times New Roman"/>
          <w:b w:val="false"/>
          <w:i w:val="false"/>
          <w:color w:val="000000"/>
          <w:sz w:val="28"/>
        </w:rPr>
        <w:t>/ Н</w:t>
      </w:r>
      <w:r>
        <w:rPr>
          <w:rFonts w:ascii="Times New Roman"/>
          <w:b w:val="false"/>
          <w:i w:val="false"/>
          <w:color w:val="000000"/>
          <w:vertAlign w:val="superscript"/>
        </w:rPr>
        <w:t>2</w:t>
      </w:r>
      <w:r>
        <w:rPr>
          <w:rFonts w:ascii="Times New Roman"/>
          <w:b w:val="false"/>
          <w:i w:val="false"/>
          <w:color w:val="000000"/>
          <w:sz w:val="28"/>
        </w:rPr>
        <w:t>; ЭЖэат</w:t>
      </w:r>
      <w:r>
        <w:rPr>
          <w:rFonts w:ascii="Times New Roman"/>
          <w:b w:val="false"/>
          <w:i w:val="false"/>
          <w:color w:val="000000"/>
          <w:vertAlign w:val="subscript"/>
        </w:rPr>
        <w:t>рш</w:t>
      </w:r>
      <w:r>
        <w:rPr>
          <w:rFonts w:ascii="Times New Roman"/>
          <w:b w:val="false"/>
          <w:i w:val="false"/>
          <w:color w:val="000000"/>
          <w:sz w:val="28"/>
        </w:rPr>
        <w:t>/ЭАТ (5)</w:t>
      </w:r>
    </w:p>
    <w:p>
      <w:pPr>
        <w:spacing w:after="0"/>
        <w:ind w:left="0"/>
        <w:jc w:val="both"/>
      </w:pPr>
      <w:r>
        <w:rPr>
          <w:rFonts w:ascii="Times New Roman"/>
          <w:b w:val="false"/>
          <w:i w:val="false"/>
          <w:color w:val="000000"/>
          <w:sz w:val="28"/>
        </w:rPr>
        <w:t>
            мұндағы: Ерш, Нрш, ЭАТрш – электр, В/м, магнит, А/м және энергия ағыны тығыздығының мкВт/см</w:t>
      </w:r>
      <w:r>
        <w:rPr>
          <w:rFonts w:ascii="Times New Roman"/>
          <w:b w:val="false"/>
          <w:i w:val="false"/>
          <w:color w:val="000000"/>
          <w:vertAlign w:val="superscript"/>
        </w:rPr>
        <w:t>2</w:t>
      </w:r>
      <w:r>
        <w:rPr>
          <w:rFonts w:ascii="Times New Roman"/>
          <w:b w:val="false"/>
          <w:i w:val="false"/>
          <w:color w:val="000000"/>
          <w:sz w:val="28"/>
        </w:rPr>
        <w:t xml:space="preserve"> рұқсат етілетін шекті мәндері; ЭЖЕрш, ЭЖнрш ЭЖэатрш – энергетикалық жүктеменің рұқсат етілетін шекті мәндері (кесте бойынша қабылданады).</w:t>
      </w:r>
    </w:p>
    <w:bookmarkStart w:name="z113" w:id="108"/>
    <w:p>
      <w:pPr>
        <w:spacing w:after="0"/>
        <w:ind w:left="0"/>
        <w:jc w:val="left"/>
      </w:pPr>
      <w:r>
        <w:rPr>
          <w:rFonts w:ascii="Times New Roman"/>
          <w:b/>
          <w:i w:val="false"/>
          <w:color w:val="000000"/>
        </w:rPr>
        <w:t xml:space="preserve"> Жұмыс орындарында 30 кГц – 300 ГГц жиіліктер диапазонында</w:t>
      </w:r>
      <w:r>
        <w:br/>
      </w:r>
      <w:r>
        <w:rPr>
          <w:rFonts w:ascii="Times New Roman"/>
          <w:b/>
          <w:i w:val="false"/>
          <w:color w:val="000000"/>
        </w:rPr>
        <w:t>кәсіби әсер ету кезінде электр магниттік өрістердің рұқсат</w:t>
      </w:r>
      <w:r>
        <w:br/>
      </w:r>
      <w:r>
        <w:rPr>
          <w:rFonts w:ascii="Times New Roman"/>
          <w:b/>
          <w:i w:val="false"/>
          <w:color w:val="000000"/>
        </w:rPr>
        <w:t>етілетін шекті деңгейлері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69"/>
        <w:gridCol w:w="1466"/>
        <w:gridCol w:w="1733"/>
        <w:gridCol w:w="2003"/>
        <w:gridCol w:w="3075"/>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300 - 300000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ЭЖЕрш, (В/м)</w:t>
            </w:r>
            <w:r>
              <w:rPr>
                <w:rFonts w:ascii="Times New Roman"/>
                <w:b w:val="false"/>
                <w:i w:val="false"/>
                <w:color w:val="000000"/>
                <w:vertAlign w:val="superscript"/>
              </w:rPr>
              <w:t>2</w:t>
            </w:r>
            <w:r>
              <w:rPr>
                <w:rFonts w:ascii="Times New Roman"/>
                <w:b w:val="false"/>
                <w:i w:val="false"/>
                <w:color w:val="000000"/>
                <w:sz w:val="20"/>
              </w:rPr>
              <w:t xml:space="preserve"> сағ.</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ЭЖнрш, (А/м)</w:t>
            </w:r>
            <w:r>
              <w:rPr>
                <w:rFonts w:ascii="Times New Roman"/>
                <w:b w:val="false"/>
                <w:i w:val="false"/>
                <w:color w:val="000000"/>
                <w:vertAlign w:val="superscript"/>
              </w:rPr>
              <w:t>2</w:t>
            </w:r>
            <w:r>
              <w:rPr>
                <w:rFonts w:ascii="Times New Roman"/>
                <w:b w:val="false"/>
                <w:i w:val="false"/>
                <w:color w:val="000000"/>
                <w:sz w:val="20"/>
              </w:rPr>
              <w:t xml:space="preserve"> ·сағ.</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ЭЖэатрш, (мкВт/см</w:t>
            </w:r>
            <w:r>
              <w:rPr>
                <w:rFonts w:ascii="Times New Roman"/>
                <w:b w:val="false"/>
                <w:i w:val="false"/>
                <w:color w:val="000000"/>
                <w:vertAlign w:val="superscript"/>
              </w:rPr>
              <w:t>2</w:t>
            </w:r>
            <w:r>
              <w:rPr>
                <w:rFonts w:ascii="Times New Roman"/>
                <w:b w:val="false"/>
                <w:i w:val="false"/>
                <w:color w:val="000000"/>
                <w:sz w:val="20"/>
              </w:rPr>
              <w:t>)·сағ.</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РШД Ерш, В/м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РШД Нрш, А/м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РШД ЭАТ, мкВт/см</w:t>
            </w:r>
            <w:r>
              <w:rPr>
                <w:rFonts w:ascii="Times New Roman"/>
                <w:b w:val="false"/>
                <w:i w:val="false"/>
                <w:color w:val="000000"/>
                <w:vertAlign w:val="superscript"/>
              </w:rPr>
              <w:t>2</w:t>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көрсетілген диапазондарда жиіліктің төменгі шегі болмайды және жоғарғы шегі кіреді.</w:t>
      </w:r>
    </w:p>
    <w:p>
      <w:pPr>
        <w:spacing w:after="0"/>
        <w:ind w:left="0"/>
        <w:jc w:val="both"/>
      </w:pPr>
      <w:r>
        <w:rPr>
          <w:rFonts w:ascii="Times New Roman"/>
          <w:b w:val="false"/>
          <w:i w:val="false"/>
          <w:color w:val="000000"/>
          <w:sz w:val="28"/>
        </w:rPr>
        <w:t>
      2) электр магниттік сәулеленуге кәсіби байланысы жоқ адамдардың болуы мүмкін жұмыс орындарында РШД мәндер кестесінде көрсетілген 0,5 мөлшерінде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