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42c09" w14:textId="7042c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салаларындағы және реттелетін нарықтардағы тәуекел дәрежесін бағалау критерийлерін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27 маусымдағы № 462 бұйрығы. Қазақстан Республикасының Әділет министрлігінде 2015 жылы 27 шілдеде № 11768 болып тіркелді. Күші жойылды - Қазақстан Республикасы Ұлттық экономика министрінің 2016 жылғы 26 шілдедегі № 332 бұйрығымен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ҚР Ұлттық экономика министрінің 26.07.2016 </w:t>
      </w:r>
      <w:r>
        <w:rPr>
          <w:rFonts w:ascii="Times New Roman"/>
          <w:b w:val="false"/>
          <w:i w:val="false"/>
          <w:color w:val="000000"/>
          <w:sz w:val="28"/>
        </w:rPr>
        <w:t>№ 332</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енгiзiледi).</w:t>
      </w:r>
      <w:r>
        <w:br/>
      </w:r>
      <w:r>
        <w:rPr>
          <w:rFonts w:ascii="Times New Roman"/>
          <w:b w:val="false"/>
          <w:i w:val="false"/>
          <w:color w:val="000000"/>
          <w:sz w:val="28"/>
        </w:rPr>
        <w:t>
      "Қазақстан Республикасындағы мемлекеттік бақылау және қадағалау туралы" 2011 жылғы 6 қаңтардағы Қазақстан Республикасы Заңының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және 13-бабының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табиғи монополиялар салаларындағы және реттелетін нарықтардағы тәуекел дәрежесін бағалау </w:t>
      </w:r>
      <w:r>
        <w:rPr>
          <w:rFonts w:ascii="Times New Roman"/>
          <w:b w:val="false"/>
          <w:i w:val="false"/>
          <w:color w:val="000000"/>
          <w:sz w:val="28"/>
        </w:rPr>
        <w:t>критерийлері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1) "Реттелетін нарық салаларындағы жеке кәсіпкерлік аясындағы тәуекел дәрежесін бағалау өлшемдерін бекіту туралы" Қазақстан Республикасы Табиғи монополияларды реттеу агенттігі төрағасының 2013 жылғы 01 шілдедегі № 199-НҚ және Қазақстан Республикасы Премьер – Министрінің бірінші орынбасары - Қазақстан Республикасы Өңірлік даму министрінің 2013 жылғы 05 шілдедегі № 125/НҚ бірлескен </w:t>
      </w:r>
      <w:r>
        <w:rPr>
          <w:rFonts w:ascii="Times New Roman"/>
          <w:b w:val="false"/>
          <w:i w:val="false"/>
          <w:color w:val="000000"/>
          <w:sz w:val="28"/>
        </w:rPr>
        <w:t>бұйрығы</w:t>
      </w:r>
      <w:r>
        <w:rPr>
          <w:rFonts w:ascii="Times New Roman"/>
          <w:b w:val="false"/>
          <w:i w:val="false"/>
          <w:color w:val="000000"/>
          <w:sz w:val="28"/>
        </w:rPr>
        <w:t xml:space="preserve"> (Норматівтік құқықтық актілерді мемлекеттік тіркеу тізілімінде № 8616 тіркелген, 2013 жылғы 20 қарашадағы № 257 (28196) "Егемен Қазақстан" газетінде жарияланған);</w:t>
      </w:r>
      <w:r>
        <w:br/>
      </w:r>
      <w:r>
        <w:rPr>
          <w:rFonts w:ascii="Times New Roman"/>
          <w:b w:val="false"/>
          <w:i w:val="false"/>
          <w:color w:val="000000"/>
          <w:sz w:val="28"/>
        </w:rPr>
        <w:t>
      2) "Табиғи монополиялар салаларындағы жеке кәсіпкерлік аясындағы тәуекел дәрежесін бағалау өлшемдерін бекіту туралы" Қазақстан Республикасы Табиғи монополияларды реттеу агенттігі төрағасының 2013 жылғы 01 шілдедегі № 200-НҚ және Қазақстан Республикасы Премьер–Министрінің бірінші орынбасары - Қазақстан Республикасы Өңірлік даму министрінің 2013 жылғы 05 шілдедегі № 126/НҚ бірлескен </w:t>
      </w:r>
      <w:r>
        <w:rPr>
          <w:rFonts w:ascii="Times New Roman"/>
          <w:b w:val="false"/>
          <w:i w:val="false"/>
          <w:color w:val="000000"/>
          <w:sz w:val="28"/>
        </w:rPr>
        <w:t>бұйрығы</w:t>
      </w:r>
      <w:r>
        <w:rPr>
          <w:rFonts w:ascii="Times New Roman"/>
          <w:b w:val="false"/>
          <w:i w:val="false"/>
          <w:color w:val="000000"/>
          <w:sz w:val="28"/>
        </w:rPr>
        <w:t xml:space="preserve"> (Норматівтік құқықтық актілерді мемлекеттік тіркеу тізілімінде № 8617 тіркелген, 2013 жылғы 20 қарашадағы № 257 (28196)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министрлігінің Табиғи монополияларды реттеу және бәсекелестікті қорғау комитеті заңнамада белгілінген тәртіппен:</w:t>
      </w:r>
      <w:r>
        <w:br/>
      </w:r>
      <w:r>
        <w:rPr>
          <w:rFonts w:ascii="Times New Roman"/>
          <w:b w:val="false"/>
          <w:i w:val="false"/>
          <w:color w:val="000000"/>
          <w:sz w:val="28"/>
        </w:rPr>
        <w:t xml:space="preserve">
      1) осы бұйрықты Қазақстан Республикасы Әділет министрлігінде мемлекеттік тіркеуді; </w:t>
      </w:r>
      <w:r>
        <w:br/>
      </w:r>
      <w:r>
        <w:rPr>
          <w:rFonts w:ascii="Times New Roman"/>
          <w:b w:val="false"/>
          <w:i w:val="false"/>
          <w:color w:val="000000"/>
          <w:sz w:val="28"/>
        </w:rPr>
        <w:t>
      2) осы бұйрық мемлекеттік тіркелгеннен кейін күнтізбелік он күн ішінде оны мерзімді баспа басылымдарына және "Әділет" ақпараттық-құқықтық жүйесінде ресми жариялануға жолдауды;</w:t>
      </w:r>
      <w:r>
        <w:br/>
      </w: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r>
        <w:br/>
      </w:r>
      <w:r>
        <w:rPr>
          <w:rFonts w:ascii="Times New Roman"/>
          <w:b w:val="false"/>
          <w:i w:val="false"/>
          <w:color w:val="000000"/>
          <w:sz w:val="28"/>
        </w:rPr>
        <w:t>
</w:t>
      </w:r>
      <w:r>
        <w:rPr>
          <w:rFonts w:ascii="Times New Roman"/>
          <w:b w:val="false"/>
          <w:i w:val="false"/>
          <w:color w:val="000000"/>
          <w:sz w:val="28"/>
        </w:rPr>
        <w:t>
      5. Осы бұйрық оны алғаш ресми жариялаған күнінен кейін күнтізбелік он күн өткен соң қолданысқа енгiзiледi.</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11457"/>
        <w:gridCol w:w="843"/>
      </w:tblGrid>
      <w:tr>
        <w:trPr>
          <w:trHeight w:val="30" w:hRule="atLeast"/>
        </w:trPr>
        <w:tc>
          <w:tcPr>
            <w:tcW w:w="114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8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w:t>
            </w:r>
            <w:r>
              <w:br/>
            </w:r>
            <w:r>
              <w:rPr>
                <w:rFonts w:ascii="Times New Roman"/>
                <w:b w:val="false"/>
                <w:i w:val="false"/>
                <w:color w:val="000000"/>
                <w:sz w:val="20"/>
              </w:rPr>
              <w:t>
 </w:t>
            </w:r>
          </w:p>
        </w:tc>
        <w:tc>
          <w:tcPr>
            <w:tcW w:w="8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министрі</w:t>
            </w:r>
            <w:r>
              <w:br/>
            </w:r>
            <w:r>
              <w:rPr>
                <w:rFonts w:ascii="Times New Roman"/>
                <w:b w:val="false"/>
                <w:i w:val="false"/>
                <w:color w:val="000000"/>
                <w:sz w:val="20"/>
              </w:rPr>
              <w:t>
 </w:t>
            </w:r>
          </w:p>
        </w:tc>
        <w:tc>
          <w:tcPr>
            <w:tcW w:w="8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Досаев</w:t>
            </w:r>
            <w:r>
              <w:br/>
            </w:r>
            <w:r>
              <w:rPr>
                <w:rFonts w:ascii="Times New Roman"/>
                <w:b w:val="false"/>
                <w:i w:val="false"/>
                <w:color w:val="000000"/>
                <w:sz w:val="20"/>
              </w:rPr>
              <w:t>
 </w:t>
            </w:r>
          </w:p>
        </w:tc>
      </w:tr>
      <w:tr>
        <w:trPr>
          <w:trHeight w:val="30" w:hRule="atLeast"/>
        </w:trPr>
        <w:tc>
          <w:tcPr>
            <w:tcW w:w="114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"КЕЛІСІЛГЕН"</w:t>
            </w:r>
            <w:r>
              <w:br/>
            </w:r>
            <w:r>
              <w:rPr>
                <w:rFonts w:ascii="Times New Roman"/>
                <w:b w:val="false"/>
                <w:i w:val="false"/>
                <w:color w:val="000000"/>
                <w:sz w:val="20"/>
              </w:rPr>
              <w:t>
 </w:t>
            </w:r>
          </w:p>
        </w:tc>
        <w:tc>
          <w:tcPr>
            <w:tcW w:w="8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p>
        </w:tc>
        <w:tc>
          <w:tcPr>
            <w:tcW w:w="8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прокуратурасының Құқықтық </w:t>
            </w:r>
            <w:r>
              <w:br/>
            </w:r>
            <w:r>
              <w:rPr>
                <w:rFonts w:ascii="Times New Roman"/>
                <w:b w:val="false"/>
                <w:i w:val="false"/>
                <w:color w:val="000000"/>
                <w:sz w:val="20"/>
              </w:rPr>
              <w:t>
 </w:t>
            </w:r>
          </w:p>
        </w:tc>
        <w:tc>
          <w:tcPr>
            <w:tcW w:w="8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 және арнайы есепке алу </w:t>
            </w:r>
            <w:r>
              <w:br/>
            </w:r>
            <w:r>
              <w:rPr>
                <w:rFonts w:ascii="Times New Roman"/>
                <w:b w:val="false"/>
                <w:i w:val="false"/>
                <w:color w:val="000000"/>
                <w:sz w:val="20"/>
              </w:rPr>
              <w:t>
 </w:t>
            </w:r>
          </w:p>
        </w:tc>
        <w:tc>
          <w:tcPr>
            <w:tcW w:w="8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жөніндегі комитетінің төрағасы</w:t>
            </w:r>
            <w:r>
              <w:br/>
            </w:r>
            <w:r>
              <w:rPr>
                <w:rFonts w:ascii="Times New Roman"/>
                <w:b w:val="false"/>
                <w:i w:val="false"/>
                <w:color w:val="000000"/>
                <w:sz w:val="20"/>
              </w:rPr>
              <w:t>
 </w:t>
            </w:r>
          </w:p>
        </w:tc>
        <w:tc>
          <w:tcPr>
            <w:tcW w:w="8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 С. Айтпаева</w:t>
            </w:r>
            <w:r>
              <w:br/>
            </w:r>
            <w:r>
              <w:rPr>
                <w:rFonts w:ascii="Times New Roman"/>
                <w:b w:val="false"/>
                <w:i w:val="false"/>
                <w:color w:val="000000"/>
                <w:sz w:val="20"/>
              </w:rPr>
              <w:t>
 </w:t>
            </w:r>
          </w:p>
        </w:tc>
        <w:tc>
          <w:tcPr>
            <w:tcW w:w="8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29 маусым</w:t>
            </w:r>
            <w:r>
              <w:br/>
            </w:r>
            <w:r>
              <w:rPr>
                <w:rFonts w:ascii="Times New Roman"/>
                <w:b w:val="false"/>
                <w:i w:val="false"/>
                <w:color w:val="000000"/>
                <w:sz w:val="20"/>
              </w:rPr>
              <w:t>
 </w:t>
            </w:r>
          </w:p>
        </w:tc>
        <w:tc>
          <w:tcPr>
            <w:tcW w:w="8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 w:id="1"/>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Ұлттық экономика Министрінің</w:t>
            </w:r>
            <w:r>
              <w:br/>
            </w:r>
            <w:r>
              <w:rPr>
                <w:rFonts w:ascii="Times New Roman"/>
                <w:b w:val="false"/>
                <w:i w:val="false"/>
                <w:color w:val="000000"/>
                <w:sz w:val="20"/>
              </w:rPr>
              <w:t>
2015 жылғы 27 маусымдағы</w:t>
            </w:r>
            <w:r>
              <w:br/>
            </w:r>
            <w:r>
              <w:rPr>
                <w:rFonts w:ascii="Times New Roman"/>
                <w:b w:val="false"/>
                <w:i w:val="false"/>
                <w:color w:val="000000"/>
                <w:sz w:val="20"/>
              </w:rPr>
              <w:t>
№ 462 бұйрығына</w:t>
            </w:r>
            <w:r>
              <w:br/>
            </w:r>
            <w:r>
              <w:rPr>
                <w:rFonts w:ascii="Times New Roman"/>
                <w:b w:val="false"/>
                <w:i w:val="false"/>
                <w:color w:val="000000"/>
                <w:sz w:val="20"/>
              </w:rPr>
              <w:t>
қосымша</w:t>
            </w:r>
          </w:p>
          <w:bookmarkEnd w:id="1"/>
        </w:tc>
      </w:tr>
    </w:tbl>
    <w:bookmarkStart w:name="z8" w:id="2"/>
    <w:p>
      <w:pPr>
        <w:spacing w:after="0"/>
        <w:ind w:left="0"/>
        <w:jc w:val="left"/>
      </w:pPr>
      <w:r>
        <w:rPr>
          <w:rFonts w:ascii="Times New Roman"/>
          <w:b/>
          <w:i w:val="false"/>
          <w:color w:val="000000"/>
        </w:rPr>
        <w:t xml:space="preserve"> 
Табиғи монополиялар салаларындағы және реттелетін нарықтардағы</w:t>
      </w:r>
      <w:r>
        <w:br/>
      </w:r>
      <w:r>
        <w:rPr>
          <w:rFonts w:ascii="Times New Roman"/>
          <w:b/>
          <w:i w:val="false"/>
          <w:color w:val="000000"/>
        </w:rPr>
        <w:t>
тәуекел дәрежесін бағалау критерийлері</w:t>
      </w:r>
    </w:p>
    <w:bookmarkEnd w:id="2"/>
    <w:bookmarkStart w:name="z9" w:id="3"/>
    <w:p>
      <w:pPr>
        <w:spacing w:after="0"/>
        <w:ind w:left="0"/>
        <w:jc w:val="both"/>
      </w:pPr>
      <w:r>
        <w:rPr>
          <w:rFonts w:ascii="Times New Roman"/>
          <w:b w:val="false"/>
          <w:i w:val="false"/>
          <w:color w:val="000000"/>
          <w:sz w:val="28"/>
        </w:rPr>
        <w:t>
      1. Осы табиғи монополиялар салаларындағы және реттелетін нарықтардағы тәуекел дәрежесін бағалау критерийлері (бұдан әрі – Критерийлер)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сондай-ақ Қазақстан Республикасы Ұлттық экономика Министрі міндетін атқарушының 2015 жылғы 17 сәуірдегі № 343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органдармен (Қазақстан Республикасының Ұлттық банкін қоспағанда) тәуекелді бағалау жүйесін қалыптастыру әдістемесіне сәйкес әзірленді, Нормативтік құқықтық актілерді мемлекеттік тіркеу тізілімінде № 90332 тіркелген. </w:t>
      </w:r>
      <w:r>
        <w:br/>
      </w:r>
      <w:r>
        <w:rPr>
          <w:rFonts w:ascii="Times New Roman"/>
          <w:b w:val="false"/>
          <w:i w:val="false"/>
          <w:color w:val="000000"/>
          <w:sz w:val="28"/>
        </w:rPr>
        <w:t>
</w:t>
      </w:r>
      <w:r>
        <w:rPr>
          <w:rFonts w:ascii="Times New Roman"/>
          <w:b w:val="false"/>
          <w:i w:val="false"/>
          <w:color w:val="000000"/>
          <w:sz w:val="28"/>
        </w:rPr>
        <w:t xml:space="preserve">
      2. Осы Критерийлерде мынадай ұғымдар пайдаланылады: </w:t>
      </w:r>
      <w:r>
        <w:br/>
      </w:r>
      <w:r>
        <w:rPr>
          <w:rFonts w:ascii="Times New Roman"/>
          <w:b w:val="false"/>
          <w:i w:val="false"/>
          <w:color w:val="000000"/>
          <w:sz w:val="28"/>
        </w:rPr>
        <w:t xml:space="preserve">
      1) бақылау субъектісі – дара кәсіпкер немесе заңды тұлға, оның ішінде табиғи монополия субъектілері және (немесе) реттелетін нарық субъектілері болып табылатын заңды тұлғалардың филиалдары мен өкілдіктері; </w:t>
      </w:r>
      <w:r>
        <w:br/>
      </w:r>
      <w:r>
        <w:rPr>
          <w:rFonts w:ascii="Times New Roman"/>
          <w:b w:val="false"/>
          <w:i w:val="false"/>
          <w:color w:val="000000"/>
          <w:sz w:val="28"/>
        </w:rPr>
        <w:t xml:space="preserve">
      2) табиғи монополияға және реттелетін нарыққа қатысты қызмет көрсететін саладағы тәуекел – жеке немесе заңды тұлғалардың заңды мүдделеріне зардап келтіру мүмкіндігі; </w:t>
      </w:r>
      <w:r>
        <w:br/>
      </w:r>
      <w:r>
        <w:rPr>
          <w:rFonts w:ascii="Times New Roman"/>
          <w:b w:val="false"/>
          <w:i w:val="false"/>
          <w:color w:val="000000"/>
          <w:sz w:val="28"/>
        </w:rPr>
        <w:t xml:space="preserve">
      3) тәуекел дәрежесін субъективті бағалау өлшемдері (бұдан әрі – субъективті критерийлер) – тексерілетін нақты субъекті (объект) қызметінің нәтижесіне қарай тексерілетін субъектілерді (объектілерді) іріктеу үшін қолданылатын тәуекел дәрежесінің бағалау критерийлері; </w:t>
      </w:r>
      <w:r>
        <w:br/>
      </w:r>
      <w:r>
        <w:rPr>
          <w:rFonts w:ascii="Times New Roman"/>
          <w:b w:val="false"/>
          <w:i w:val="false"/>
          <w:color w:val="000000"/>
          <w:sz w:val="28"/>
        </w:rPr>
        <w:t xml:space="preserve">
      4) тәуекелдерді бағалау жүйесі – тексерулерді белгілеу мақсатында бақылау және қадағалау органы жүргізетін іс-шаралар кешені; </w:t>
      </w:r>
      <w:r>
        <w:br/>
      </w:r>
      <w:r>
        <w:rPr>
          <w:rFonts w:ascii="Times New Roman"/>
          <w:b w:val="false"/>
          <w:i w:val="false"/>
          <w:color w:val="000000"/>
          <w:sz w:val="28"/>
        </w:rPr>
        <w:t>
</w:t>
      </w:r>
      <w:r>
        <w:rPr>
          <w:rFonts w:ascii="Times New Roman"/>
          <w:b w:val="false"/>
          <w:i w:val="false"/>
          <w:color w:val="000000"/>
          <w:sz w:val="28"/>
        </w:rPr>
        <w:t xml:space="preserve">
      3. Іріктеп тексерулер үшін тәуекел дәрежесін бағалау критерийлері субъективті критерийлер арқылы қалыптастырылады. </w:t>
      </w:r>
      <w:r>
        <w:br/>
      </w:r>
      <w:r>
        <w:rPr>
          <w:rFonts w:ascii="Times New Roman"/>
          <w:b w:val="false"/>
          <w:i w:val="false"/>
          <w:color w:val="000000"/>
          <w:sz w:val="28"/>
        </w:rPr>
        <w:t>
</w:t>
      </w:r>
      <w:r>
        <w:rPr>
          <w:rFonts w:ascii="Times New Roman"/>
          <w:b w:val="false"/>
          <w:i w:val="false"/>
          <w:color w:val="000000"/>
          <w:sz w:val="28"/>
        </w:rPr>
        <w:t xml:space="preserve">
      4. Іріктеп тексерулер жоғары тәуекел дәрежесіне жатқызылған тексерілетін субъектілерге қатысты жүргізіледі. </w:t>
      </w:r>
      <w:r>
        <w:br/>
      </w:r>
      <w:r>
        <w:rPr>
          <w:rFonts w:ascii="Times New Roman"/>
          <w:b w:val="false"/>
          <w:i w:val="false"/>
          <w:color w:val="000000"/>
          <w:sz w:val="28"/>
        </w:rPr>
        <w:t>
      Жоспардан тыс тексерулер және өзге бақылау мен қадағалау нысандары жоғары және жоғары дәрежеге жатпайтын тәуекел дәрежесіне жатқызылған тексерілетін субъектілерге қатысты қолданылады.</w:t>
      </w:r>
      <w:r>
        <w:br/>
      </w:r>
      <w:r>
        <w:rPr>
          <w:rFonts w:ascii="Times New Roman"/>
          <w:b w:val="false"/>
          <w:i w:val="false"/>
          <w:color w:val="000000"/>
          <w:sz w:val="28"/>
        </w:rPr>
        <w:t>
</w:t>
      </w:r>
      <w:r>
        <w:rPr>
          <w:rFonts w:ascii="Times New Roman"/>
          <w:b w:val="false"/>
          <w:i w:val="false"/>
          <w:color w:val="000000"/>
          <w:sz w:val="28"/>
        </w:rPr>
        <w:t xml:space="preserve">
      5. Іріктеп тексеруді жүргізу саны жыла бір реттен жиі болуға тиіс емес. </w:t>
      </w:r>
      <w:r>
        <w:br/>
      </w:r>
      <w:r>
        <w:rPr>
          <w:rFonts w:ascii="Times New Roman"/>
          <w:b w:val="false"/>
          <w:i w:val="false"/>
          <w:color w:val="000000"/>
          <w:sz w:val="28"/>
        </w:rPr>
        <w:t>
      Талдау мен бағалау кезінде тексерілетін нақты субъектіге қатысты бұрын ескерілген және пайдаланылған субъективті критерийлердің деректері қолданылмайды.</w:t>
      </w:r>
      <w:r>
        <w:br/>
      </w:r>
      <w:r>
        <w:rPr>
          <w:rFonts w:ascii="Times New Roman"/>
          <w:b w:val="false"/>
          <w:i w:val="false"/>
          <w:color w:val="000000"/>
          <w:sz w:val="28"/>
        </w:rPr>
        <w:t>
</w:t>
      </w:r>
      <w:r>
        <w:rPr>
          <w:rFonts w:ascii="Times New Roman"/>
          <w:b w:val="false"/>
          <w:i w:val="false"/>
          <w:color w:val="000000"/>
          <w:sz w:val="28"/>
        </w:rPr>
        <w:t xml:space="preserve">
      6. Тәуекелдің дәрежесін бағалаудың субъективті критерийлерін анықтау үшін мынадай ақпарат көздері қолданылады: </w:t>
      </w:r>
      <w:r>
        <w:br/>
      </w:r>
      <w:r>
        <w:rPr>
          <w:rFonts w:ascii="Times New Roman"/>
          <w:b w:val="false"/>
          <w:i w:val="false"/>
          <w:color w:val="000000"/>
          <w:sz w:val="28"/>
        </w:rPr>
        <w:t xml:space="preserve">
      1) уәкілетті орган және (немесе) басқа да мемлекеттік органдар жүргізетін тексерілетін субъектілері ұсынатын есептілік пен мәліметтер мониторингінің нәтижелері; </w:t>
      </w:r>
      <w:r>
        <w:br/>
      </w:r>
      <w:r>
        <w:rPr>
          <w:rFonts w:ascii="Times New Roman"/>
          <w:b w:val="false"/>
          <w:i w:val="false"/>
          <w:color w:val="000000"/>
          <w:sz w:val="28"/>
        </w:rPr>
        <w:t xml:space="preserve">
      2) тексеру парақтарында көрсетілген заңнама талаптарын сақтамаған жағдайда бұзушылық ауыртпалығының дәрежесі (өрескел, елеулі, шамалы) белгіленетін алдыңғы тексерулер нәтижелері; </w:t>
      </w:r>
      <w:r>
        <w:br/>
      </w:r>
      <w:r>
        <w:rPr>
          <w:rFonts w:ascii="Times New Roman"/>
          <w:b w:val="false"/>
          <w:i w:val="false"/>
          <w:color w:val="000000"/>
          <w:sz w:val="28"/>
        </w:rPr>
        <w:t xml:space="preserve">
      3) жеке және заңды тұлғалардың расталған (негізделген) шағымдары мен өтініштерінің бар болуы және саны; </w:t>
      </w:r>
      <w:r>
        <w:br/>
      </w:r>
      <w:r>
        <w:rPr>
          <w:rFonts w:ascii="Times New Roman"/>
          <w:b w:val="false"/>
          <w:i w:val="false"/>
          <w:color w:val="000000"/>
          <w:sz w:val="28"/>
        </w:rPr>
        <w:t xml:space="preserve">
      4) интернет-ресурстар мен және бұқаралық ақпараттар құралдарын талдау; </w:t>
      </w:r>
      <w:r>
        <w:br/>
      </w:r>
      <w:r>
        <w:rPr>
          <w:rFonts w:ascii="Times New Roman"/>
          <w:b w:val="false"/>
          <w:i w:val="false"/>
          <w:color w:val="000000"/>
          <w:sz w:val="28"/>
        </w:rPr>
        <w:t>
</w:t>
      </w:r>
      <w:r>
        <w:rPr>
          <w:rFonts w:ascii="Times New Roman"/>
          <w:b w:val="false"/>
          <w:i w:val="false"/>
          <w:color w:val="000000"/>
          <w:sz w:val="28"/>
        </w:rPr>
        <w:t>
      7. Ақпарат көздерінің негізінде осы Критерийлерге </w:t>
      </w:r>
      <w:r>
        <w:rPr>
          <w:rFonts w:ascii="Times New Roman"/>
          <w:b w:val="false"/>
          <w:i w:val="false"/>
          <w:color w:val="000000"/>
          <w:sz w:val="28"/>
        </w:rPr>
        <w:t>1-қосымша</w:t>
      </w:r>
      <w:r>
        <w:rPr>
          <w:rFonts w:ascii="Times New Roman"/>
          <w:b w:val="false"/>
          <w:i w:val="false"/>
          <w:color w:val="000000"/>
          <w:sz w:val="28"/>
        </w:rPr>
        <w:t xml:space="preserve"> сәйкес табиғи монополиялар субъектілері үшін және </w:t>
      </w:r>
      <w:r>
        <w:rPr>
          <w:rFonts w:ascii="Times New Roman"/>
          <w:b w:val="false"/>
          <w:i w:val="false"/>
          <w:color w:val="000000"/>
          <w:sz w:val="28"/>
        </w:rPr>
        <w:t>2-қосымшаға</w:t>
      </w:r>
      <w:r>
        <w:rPr>
          <w:rFonts w:ascii="Times New Roman"/>
          <w:b w:val="false"/>
          <w:i w:val="false"/>
          <w:color w:val="000000"/>
          <w:sz w:val="28"/>
        </w:rPr>
        <w:t xml:space="preserve"> сәйкес реттелетін нарық субъектілері үшін субъективті критерийлер анықталған.</w:t>
      </w:r>
      <w:r>
        <w:br/>
      </w:r>
      <w:r>
        <w:rPr>
          <w:rFonts w:ascii="Times New Roman"/>
          <w:b w:val="false"/>
          <w:i w:val="false"/>
          <w:color w:val="000000"/>
          <w:sz w:val="28"/>
        </w:rPr>
        <w:t>
</w:t>
      </w:r>
      <w:r>
        <w:rPr>
          <w:rFonts w:ascii="Times New Roman"/>
          <w:b w:val="false"/>
          <w:i w:val="false"/>
          <w:color w:val="000000"/>
          <w:sz w:val="28"/>
        </w:rPr>
        <w:t>
      8. Өрескел бұзушылық деп Қазақстан Республикасының табиғи монополиялар және реттелетін нарықтар туралы заңнамасын бұзған жағдайда табиғи монополия субъектісі және (немесе) реттелетін нарық субъектісі негізсіз алған кіріс (түсім) танылады.</w:t>
      </w:r>
      <w:r>
        <w:br/>
      </w:r>
      <w:r>
        <w:rPr>
          <w:rFonts w:ascii="Times New Roman"/>
          <w:b w:val="false"/>
          <w:i w:val="false"/>
          <w:color w:val="000000"/>
          <w:sz w:val="28"/>
        </w:rPr>
        <w:t>
      Өрескел бұзушылық анықталған кезде тексерілетін субъектіге тәуекел дәрежесінің 100 көрсеткіші беріледі, бұл тексерілетін субъектіге қатысты тексеру жүргізуге негіз болып табылады.</w:t>
      </w:r>
      <w:r>
        <w:br/>
      </w:r>
      <w:r>
        <w:rPr>
          <w:rFonts w:ascii="Times New Roman"/>
          <w:b w:val="false"/>
          <w:i w:val="false"/>
          <w:color w:val="000000"/>
          <w:sz w:val="28"/>
        </w:rPr>
        <w:t>
      Егер өрескел бұзушылық анықталмаған жағдайда, онда тәуекел дәрежесін анықтау үшін елеулі және шамалы дәрежесі талаптарының (индикаторлардың) жиынтық көрсеткіші есептеледі.</w:t>
      </w:r>
      <w:r>
        <w:br/>
      </w:r>
      <w:r>
        <w:rPr>
          <w:rFonts w:ascii="Times New Roman"/>
          <w:b w:val="false"/>
          <w:i w:val="false"/>
          <w:color w:val="000000"/>
          <w:sz w:val="28"/>
        </w:rPr>
        <w:t>
</w:t>
      </w:r>
      <w:r>
        <w:rPr>
          <w:rFonts w:ascii="Times New Roman"/>
          <w:b w:val="false"/>
          <w:i w:val="false"/>
          <w:color w:val="000000"/>
          <w:sz w:val="28"/>
        </w:rPr>
        <w:t>
      9. Елеулі дәрежесінің бұзушылықтары көрсеткішін анықтау кезінде 0,7 коэффициенті қолданылады және осы көрсеткіш мынадай формула бойынша есептеледі:</w:t>
      </w:r>
      <w:r>
        <w:br/>
      </w:r>
      <w:r>
        <w:rPr>
          <w:rFonts w:ascii="Times New Roman"/>
          <w:b w:val="false"/>
          <w:i w:val="false"/>
          <w:color w:val="000000"/>
          <w:sz w:val="28"/>
        </w:rPr>
        <w:t>
 </w:t>
      </w:r>
    </w:p>
    <w:bookmarkEnd w:id="3"/>
    <w:p>
      <w:pPr>
        <w:spacing w:after="0"/>
        <w:ind w:left="0"/>
        <w:jc w:val="both"/>
      </w:pPr>
      <w:r>
        <w:drawing>
          <wp:inline distT="0" distB="0" distL="0" distR="0">
            <wp:extent cx="317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7500" cy="215900"/>
                    </a:xfrm>
                    <a:prstGeom prst="rect">
                      <a:avLst/>
                    </a:prstGeom>
                  </pic:spPr>
                </pic:pic>
              </a:graphicData>
            </a:graphic>
          </wp:inline>
        </w:drawing>
      </w:r>
    </w:p>
    <w:p>
      <w:pPr>
        <w:spacing w:after="0"/>
        <w:ind w:left="0"/>
        <w:jc w:val="both"/>
      </w:pPr>
      <w:r>
        <w:rPr>
          <w:rFonts w:ascii="Times New Roman"/>
          <w:b w:val="false"/>
          <w:i w:val="false"/>
          <w:color w:val="000000"/>
          <w:vertAlign w:val="subscript"/>
        </w:rPr>
        <w:t>      з</w:t>
      </w:r>
      <w:r>
        <w:rPr>
          <w:rFonts w:ascii="Times New Roman"/>
          <w:b w:val="false"/>
          <w:i w:val="false"/>
          <w:color w:val="000000"/>
          <w:sz w:val="28"/>
        </w:rPr>
        <w:t xml:space="preserve"> = (</w:t>
      </w:r>
    </w:p>
    <w:p>
      <w:pPr>
        <w:spacing w:after="0"/>
        <w:ind w:left="0"/>
        <w:jc w:val="both"/>
      </w:pPr>
      <w:r>
        <w:drawing>
          <wp:inline distT="0" distB="0" distL="0" distR="0">
            <wp:extent cx="317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7500" cy="215900"/>
                    </a:xfrm>
                    <a:prstGeom prst="rect">
                      <a:avLst/>
                    </a:prstGeom>
                  </pic:spPr>
                </pic:pic>
              </a:graphicData>
            </a:graphic>
          </wp:inline>
        </w:drawing>
      </w:r>
    </w:p>
    <w:p>
      <w:pPr>
        <w:spacing w:after="0"/>
        <w:ind w:left="0"/>
        <w:jc w:val="both"/>
      </w:pPr>
      <w:r>
        <w:rPr>
          <w:rFonts w:ascii="Times New Roman"/>
          <w:b w:val="false"/>
          <w:i w:val="false"/>
          <w:color w:val="000000"/>
          <w:vertAlign w:val="subscript"/>
        </w:rPr>
        <w:t>2</w:t>
      </w:r>
      <w:r>
        <w:rPr>
          <w:rFonts w:ascii="Times New Roman"/>
          <w:b w:val="false"/>
          <w:i w:val="false"/>
          <w:color w:val="000000"/>
          <w:sz w:val="28"/>
        </w:rPr>
        <w:t xml:space="preserve"> х 100/</w:t>
      </w:r>
    </w:p>
    <w:p>
      <w:pPr>
        <w:spacing w:after="0"/>
        <w:ind w:left="0"/>
        <w:jc w:val="both"/>
      </w:pPr>
      <w:r>
        <w:drawing>
          <wp:inline distT="0" distB="0" distL="0" distR="0">
            <wp:extent cx="317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17500" cy="215900"/>
                    </a:xfrm>
                    <a:prstGeom prst="rect">
                      <a:avLst/>
                    </a:prstGeom>
                  </pic:spPr>
                </pic:pic>
              </a:graphicData>
            </a:graphic>
          </wp:inline>
        </w:drawing>
      </w:r>
    </w:p>
    <w:p>
      <w:pPr>
        <w:spacing w:after="0"/>
        <w:ind w:left="0"/>
        <w:jc w:val="both"/>
      </w:pPr>
      <w:r>
        <w:rPr>
          <w:rFonts w:ascii="Times New Roman"/>
          <w:b w:val="false"/>
          <w:i w:val="false"/>
          <w:color w:val="000000"/>
          <w:vertAlign w:val="subscript"/>
        </w:rPr>
        <w:t>1</w:t>
      </w:r>
      <w:r>
        <w:rPr>
          <w:rFonts w:ascii="Times New Roman"/>
          <w:b w:val="false"/>
          <w:i w:val="false"/>
          <w:color w:val="000000"/>
          <w:sz w:val="28"/>
        </w:rPr>
        <w:t>) х 0,7</w:t>
      </w:r>
      <w:r>
        <w:br/>
      </w:r>
      <w:r>
        <w:rPr>
          <w:rFonts w:ascii="Times New Roman"/>
          <w:b w:val="false"/>
          <w:i w:val="false"/>
          <w:color w:val="000000"/>
          <w:sz w:val="28"/>
        </w:rPr>
        <w:t>
      мұндағы:</w:t>
      </w:r>
      <w:r>
        <w:br/>
      </w:r>
      <w:r>
        <w:rPr>
          <w:rFonts w:ascii="Times New Roman"/>
          <w:b w:val="false"/>
          <w:i w:val="false"/>
          <w:color w:val="000000"/>
          <w:sz w:val="28"/>
        </w:rPr>
        <w:t>
 </w:t>
      </w:r>
    </w:p>
    <w:p>
      <w:pPr>
        <w:spacing w:after="0"/>
        <w:ind w:left="0"/>
        <w:jc w:val="both"/>
      </w:pPr>
      <w:r>
        <w:drawing>
          <wp:inline distT="0" distB="0" distL="0" distR="0">
            <wp:extent cx="317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7500" cy="215900"/>
                    </a:xfrm>
                    <a:prstGeom prst="rect">
                      <a:avLst/>
                    </a:prstGeom>
                  </pic:spPr>
                </pic:pic>
              </a:graphicData>
            </a:graphic>
          </wp:inline>
        </w:drawing>
      </w:r>
    </w:p>
    <w:p>
      <w:pPr>
        <w:spacing w:after="0"/>
        <w:ind w:left="0"/>
        <w:jc w:val="both"/>
      </w:pPr>
      <w:r>
        <w:rPr>
          <w:rFonts w:ascii="Times New Roman"/>
          <w:b w:val="false"/>
          <w:i w:val="false"/>
          <w:color w:val="000000"/>
          <w:vertAlign w:val="subscript"/>
        </w:rPr>
        <w:t>      з</w:t>
      </w:r>
      <w:r>
        <w:rPr>
          <w:rFonts w:ascii="Times New Roman"/>
          <w:b w:val="false"/>
          <w:i w:val="false"/>
          <w:color w:val="000000"/>
          <w:sz w:val="28"/>
        </w:rPr>
        <w:t xml:space="preserve"> – елеулі дәреже бұзушылықтарының көрсеткіші;</w:t>
      </w:r>
      <w:r>
        <w:br/>
      </w:r>
      <w:r>
        <w:rPr>
          <w:rFonts w:ascii="Times New Roman"/>
          <w:b w:val="false"/>
          <w:i w:val="false"/>
          <w:color w:val="000000"/>
          <w:sz w:val="28"/>
        </w:rPr>
        <w:t>
 </w:t>
      </w:r>
    </w:p>
    <w:p>
      <w:pPr>
        <w:spacing w:after="0"/>
        <w:ind w:left="0"/>
        <w:jc w:val="both"/>
      </w:pPr>
      <w:r>
        <w:drawing>
          <wp:inline distT="0" distB="0" distL="0" distR="0">
            <wp:extent cx="317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17500" cy="215900"/>
                    </a:xfrm>
                    <a:prstGeom prst="rect">
                      <a:avLst/>
                    </a:prstGeom>
                  </pic:spPr>
                </pic:pic>
              </a:graphicData>
            </a:graphic>
          </wp:inline>
        </w:drawing>
      </w:r>
    </w:p>
    <w:p>
      <w:pPr>
        <w:spacing w:after="0"/>
        <w:ind w:left="0"/>
        <w:jc w:val="both"/>
      </w:pPr>
      <w:r>
        <w:rPr>
          <w:rFonts w:ascii="Times New Roman"/>
          <w:b w:val="false"/>
          <w:i w:val="false"/>
          <w:color w:val="000000"/>
          <w:vertAlign w:val="subscript"/>
        </w:rPr>
        <w:t>      1</w:t>
      </w:r>
      <w:r>
        <w:rPr>
          <w:rFonts w:ascii="Times New Roman"/>
          <w:b w:val="false"/>
          <w:i w:val="false"/>
          <w:color w:val="000000"/>
          <w:sz w:val="28"/>
        </w:rPr>
        <w:t xml:space="preserve"> – тексерілетін субъектіге (объектіге) тексеруге (талдауға) қойылатын елеулі дәреже индикаторларының жалпы саны;</w:t>
      </w:r>
      <w:r>
        <w:br/>
      </w:r>
      <w:r>
        <w:rPr>
          <w:rFonts w:ascii="Times New Roman"/>
          <w:b w:val="false"/>
          <w:i w:val="false"/>
          <w:color w:val="000000"/>
          <w:sz w:val="28"/>
        </w:rPr>
        <w:t>
 </w:t>
      </w:r>
    </w:p>
    <w:p>
      <w:pPr>
        <w:spacing w:after="0"/>
        <w:ind w:left="0"/>
        <w:jc w:val="both"/>
      </w:pPr>
      <w:r>
        <w:drawing>
          <wp:inline distT="0" distB="0" distL="0" distR="0">
            <wp:extent cx="317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17500" cy="215900"/>
                    </a:xfrm>
                    <a:prstGeom prst="rect">
                      <a:avLst/>
                    </a:prstGeom>
                  </pic:spPr>
                </pic:pic>
              </a:graphicData>
            </a:graphic>
          </wp:inline>
        </w:drawing>
      </w:r>
    </w:p>
    <w:p>
      <w:pPr>
        <w:spacing w:after="0"/>
        <w:ind w:left="0"/>
        <w:jc w:val="both"/>
      </w:pPr>
      <w:r>
        <w:rPr>
          <w:rFonts w:ascii="Times New Roman"/>
          <w:b w:val="false"/>
          <w:i w:val="false"/>
          <w:color w:val="000000"/>
          <w:vertAlign w:val="subscript"/>
        </w:rPr>
        <w:t>      2</w:t>
      </w:r>
      <w:r>
        <w:rPr>
          <w:rFonts w:ascii="Times New Roman"/>
          <w:b w:val="false"/>
          <w:i w:val="false"/>
          <w:color w:val="000000"/>
          <w:sz w:val="28"/>
        </w:rPr>
        <w:t xml:space="preserve"> – елеулі дәреженің бұзылған талаптарының (индикаторларының) саны.</w:t>
      </w:r>
      <w:r>
        <w:br/>
      </w:r>
      <w:r>
        <w:rPr>
          <w:rFonts w:ascii="Times New Roman"/>
          <w:b w:val="false"/>
          <w:i w:val="false"/>
          <w:color w:val="000000"/>
          <w:sz w:val="28"/>
        </w:rPr>
        <w:t>
      Шамалы дәрежесінің бұзушылықтары көрсеткішін анықтау кезінде 0,3 коэффициенті қолданылады және осы көрсеткіш мынадай формула бойынша есептеледі:</w:t>
      </w:r>
      <w:r>
        <w:br/>
      </w:r>
      <w:r>
        <w:rPr>
          <w:rFonts w:ascii="Times New Roman"/>
          <w:b w:val="false"/>
          <w:i w:val="false"/>
          <w:color w:val="000000"/>
          <w:sz w:val="28"/>
        </w:rPr>
        <w:t>
 </w:t>
      </w:r>
    </w:p>
    <w:p>
      <w:pPr>
        <w:spacing w:after="0"/>
        <w:ind w:left="0"/>
        <w:jc w:val="both"/>
      </w:pPr>
      <w:r>
        <w:drawing>
          <wp:inline distT="0" distB="0" distL="0" distR="0">
            <wp:extent cx="317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17500" cy="215900"/>
                    </a:xfrm>
                    <a:prstGeom prst="rect">
                      <a:avLst/>
                    </a:prstGeom>
                  </pic:spPr>
                </pic:pic>
              </a:graphicData>
            </a:graphic>
          </wp:inline>
        </w:drawing>
      </w:r>
    </w:p>
    <w:p>
      <w:pPr>
        <w:spacing w:after="0"/>
        <w:ind w:left="0"/>
        <w:jc w:val="both"/>
      </w:pPr>
      <w:r>
        <w:rPr>
          <w:rFonts w:ascii="Times New Roman"/>
          <w:b w:val="false"/>
          <w:i w:val="false"/>
          <w:color w:val="000000"/>
          <w:vertAlign w:val="subscript"/>
        </w:rPr>
        <w:t>      н</w:t>
      </w:r>
      <w:r>
        <w:rPr>
          <w:rFonts w:ascii="Times New Roman"/>
          <w:b w:val="false"/>
          <w:i w:val="false"/>
          <w:color w:val="000000"/>
          <w:sz w:val="28"/>
        </w:rPr>
        <w:t xml:space="preserve"> = (</w:t>
      </w:r>
    </w:p>
    <w:p>
      <w:pPr>
        <w:spacing w:after="0"/>
        <w:ind w:left="0"/>
        <w:jc w:val="both"/>
      </w:pPr>
      <w:r>
        <w:drawing>
          <wp:inline distT="0" distB="0" distL="0" distR="0">
            <wp:extent cx="317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17500" cy="215900"/>
                    </a:xfrm>
                    <a:prstGeom prst="rect">
                      <a:avLst/>
                    </a:prstGeom>
                  </pic:spPr>
                </pic:pic>
              </a:graphicData>
            </a:graphic>
          </wp:inline>
        </w:drawing>
      </w:r>
    </w:p>
    <w:p>
      <w:pPr>
        <w:spacing w:after="0"/>
        <w:ind w:left="0"/>
        <w:jc w:val="both"/>
      </w:pPr>
      <w:r>
        <w:rPr>
          <w:rFonts w:ascii="Times New Roman"/>
          <w:b w:val="false"/>
          <w:i w:val="false"/>
          <w:color w:val="000000"/>
          <w:vertAlign w:val="subscript"/>
        </w:rPr>
        <w:t>2</w:t>
      </w:r>
      <w:r>
        <w:rPr>
          <w:rFonts w:ascii="Times New Roman"/>
          <w:b w:val="false"/>
          <w:i w:val="false"/>
          <w:color w:val="000000"/>
          <w:sz w:val="28"/>
        </w:rPr>
        <w:t xml:space="preserve"> х 100/</w:t>
      </w:r>
    </w:p>
    <w:p>
      <w:pPr>
        <w:spacing w:after="0"/>
        <w:ind w:left="0"/>
        <w:jc w:val="both"/>
      </w:pPr>
      <w:r>
        <w:drawing>
          <wp:inline distT="0" distB="0" distL="0" distR="0">
            <wp:extent cx="317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17500" cy="215900"/>
                    </a:xfrm>
                    <a:prstGeom prst="rect">
                      <a:avLst/>
                    </a:prstGeom>
                  </pic:spPr>
                </pic:pic>
              </a:graphicData>
            </a:graphic>
          </wp:inline>
        </w:drawing>
      </w:r>
    </w:p>
    <w:p>
      <w:pPr>
        <w:spacing w:after="0"/>
        <w:ind w:left="0"/>
        <w:jc w:val="both"/>
      </w:pPr>
      <w:r>
        <w:rPr>
          <w:rFonts w:ascii="Times New Roman"/>
          <w:b w:val="false"/>
          <w:i w:val="false"/>
          <w:color w:val="000000"/>
          <w:vertAlign w:val="subscript"/>
        </w:rPr>
        <w:t>1</w:t>
      </w:r>
      <w:r>
        <w:rPr>
          <w:rFonts w:ascii="Times New Roman"/>
          <w:b w:val="false"/>
          <w:i w:val="false"/>
          <w:color w:val="000000"/>
          <w:sz w:val="28"/>
        </w:rPr>
        <w:t>) х 0,3</w:t>
      </w:r>
      <w:r>
        <w:br/>
      </w:r>
      <w:r>
        <w:rPr>
          <w:rFonts w:ascii="Times New Roman"/>
          <w:b w:val="false"/>
          <w:i w:val="false"/>
          <w:color w:val="000000"/>
          <w:sz w:val="28"/>
        </w:rPr>
        <w:t>
      мұндағы:</w:t>
      </w:r>
      <w:r>
        <w:br/>
      </w:r>
      <w:r>
        <w:rPr>
          <w:rFonts w:ascii="Times New Roman"/>
          <w:b w:val="false"/>
          <w:i w:val="false"/>
          <w:color w:val="000000"/>
          <w:sz w:val="28"/>
        </w:rPr>
        <w:t>
 </w:t>
      </w:r>
    </w:p>
    <w:p>
      <w:pPr>
        <w:spacing w:after="0"/>
        <w:ind w:left="0"/>
        <w:jc w:val="both"/>
      </w:pPr>
      <w:r>
        <w:drawing>
          <wp:inline distT="0" distB="0" distL="0" distR="0">
            <wp:extent cx="317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17500" cy="215900"/>
                    </a:xfrm>
                    <a:prstGeom prst="rect">
                      <a:avLst/>
                    </a:prstGeom>
                  </pic:spPr>
                </pic:pic>
              </a:graphicData>
            </a:graphic>
          </wp:inline>
        </w:drawing>
      </w:r>
    </w:p>
    <w:p>
      <w:pPr>
        <w:spacing w:after="0"/>
        <w:ind w:left="0"/>
        <w:jc w:val="both"/>
      </w:pPr>
      <w:r>
        <w:rPr>
          <w:rFonts w:ascii="Times New Roman"/>
          <w:b w:val="false"/>
          <w:i w:val="false"/>
          <w:color w:val="000000"/>
          <w:vertAlign w:val="subscript"/>
        </w:rPr>
        <w:t>      н</w:t>
      </w:r>
      <w:r>
        <w:rPr>
          <w:rFonts w:ascii="Times New Roman"/>
          <w:b w:val="false"/>
          <w:i w:val="false"/>
          <w:color w:val="000000"/>
          <w:sz w:val="28"/>
        </w:rPr>
        <w:t xml:space="preserve"> – шамалы дәреже бұзушылықтарының көрсеткіші;</w:t>
      </w:r>
      <w:r>
        <w:br/>
      </w:r>
      <w:r>
        <w:rPr>
          <w:rFonts w:ascii="Times New Roman"/>
          <w:b w:val="false"/>
          <w:i w:val="false"/>
          <w:color w:val="000000"/>
          <w:sz w:val="28"/>
        </w:rPr>
        <w:t>
 </w:t>
      </w:r>
    </w:p>
    <w:p>
      <w:pPr>
        <w:spacing w:after="0"/>
        <w:ind w:left="0"/>
        <w:jc w:val="both"/>
      </w:pPr>
      <w:r>
        <w:drawing>
          <wp:inline distT="0" distB="0" distL="0" distR="0">
            <wp:extent cx="317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17500" cy="215900"/>
                    </a:xfrm>
                    <a:prstGeom prst="rect">
                      <a:avLst/>
                    </a:prstGeom>
                  </pic:spPr>
                </pic:pic>
              </a:graphicData>
            </a:graphic>
          </wp:inline>
        </w:drawing>
      </w:r>
    </w:p>
    <w:p>
      <w:pPr>
        <w:spacing w:after="0"/>
        <w:ind w:left="0"/>
        <w:jc w:val="both"/>
      </w:pPr>
      <w:r>
        <w:rPr>
          <w:rFonts w:ascii="Times New Roman"/>
          <w:b w:val="false"/>
          <w:i w:val="false"/>
          <w:color w:val="000000"/>
          <w:vertAlign w:val="subscript"/>
        </w:rPr>
        <w:t>      1</w:t>
      </w:r>
      <w:r>
        <w:rPr>
          <w:rFonts w:ascii="Times New Roman"/>
          <w:b w:val="false"/>
          <w:i w:val="false"/>
          <w:color w:val="000000"/>
          <w:sz w:val="28"/>
        </w:rPr>
        <w:t xml:space="preserve"> – тексерілетін субъектіге (объектіге) тексеруге (талдауға) қойылатын шамалы дәреже индикаторларының жалпы саны;</w:t>
      </w:r>
      <w:r>
        <w:br/>
      </w:r>
      <w:r>
        <w:rPr>
          <w:rFonts w:ascii="Times New Roman"/>
          <w:b w:val="false"/>
          <w:i w:val="false"/>
          <w:color w:val="000000"/>
          <w:sz w:val="28"/>
        </w:rPr>
        <w:t>
 </w:t>
      </w:r>
    </w:p>
    <w:p>
      <w:pPr>
        <w:spacing w:after="0"/>
        <w:ind w:left="0"/>
        <w:jc w:val="both"/>
      </w:pPr>
      <w:r>
        <w:drawing>
          <wp:inline distT="0" distB="0" distL="0" distR="0">
            <wp:extent cx="317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17500" cy="215900"/>
                    </a:xfrm>
                    <a:prstGeom prst="rect">
                      <a:avLst/>
                    </a:prstGeom>
                  </pic:spPr>
                </pic:pic>
              </a:graphicData>
            </a:graphic>
          </wp:inline>
        </w:drawing>
      </w:r>
    </w:p>
    <w:p>
      <w:pPr>
        <w:spacing w:after="0"/>
        <w:ind w:left="0"/>
        <w:jc w:val="both"/>
      </w:pPr>
      <w:r>
        <w:rPr>
          <w:rFonts w:ascii="Times New Roman"/>
          <w:b w:val="false"/>
          <w:i w:val="false"/>
          <w:color w:val="000000"/>
          <w:vertAlign w:val="subscript"/>
        </w:rPr>
        <w:t>      2</w:t>
      </w:r>
      <w:r>
        <w:rPr>
          <w:rFonts w:ascii="Times New Roman"/>
          <w:b w:val="false"/>
          <w:i w:val="false"/>
          <w:color w:val="000000"/>
          <w:sz w:val="28"/>
        </w:rPr>
        <w:t xml:space="preserve"> – шамалы дәреженің бұзылған талаптарының (индикаторларының) саны.</w:t>
      </w:r>
      <w:r>
        <w:br/>
      </w:r>
      <w:r>
        <w:rPr>
          <w:rFonts w:ascii="Times New Roman"/>
          <w:b w:val="false"/>
          <w:i w:val="false"/>
          <w:color w:val="000000"/>
          <w:sz w:val="28"/>
        </w:rPr>
        <w:t>
      Тәуекел дәрежесінің жалпы көрсеткіші (</w:t>
      </w:r>
    </w:p>
    <w:p>
      <w:pPr>
        <w:spacing w:after="0"/>
        <w:ind w:left="0"/>
        <w:jc w:val="both"/>
      </w:pPr>
      <w:r>
        <w:drawing>
          <wp:inline distT="0" distB="0" distL="0" distR="0">
            <wp:extent cx="317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17500" cy="215900"/>
                    </a:xfrm>
                    <a:prstGeom prst="rect">
                      <a:avLst/>
                    </a:prstGeom>
                  </pic:spPr>
                </pic:pic>
              </a:graphicData>
            </a:graphic>
          </wp:inline>
        </w:drawing>
      </w:r>
    </w:p>
    <w:p>
      <w:pPr>
        <w:spacing w:after="0"/>
        <w:ind w:left="0"/>
        <w:jc w:val="both"/>
      </w:pPr>
      <w:r>
        <w:rPr>
          <w:rFonts w:ascii="Times New Roman"/>
          <w:b w:val="false"/>
          <w:i w:val="false"/>
          <w:color w:val="000000"/>
          <w:sz w:val="28"/>
        </w:rPr>
        <w:t>) 0-ден 100-ге дейін шкала бойынша есептеледі және көрсеткіштерді қосу жолымен мынадай формула бойынша айқындалады:</w:t>
      </w:r>
      <w:r>
        <w:br/>
      </w:r>
      <w:r>
        <w:rPr>
          <w:rFonts w:ascii="Times New Roman"/>
          <w:b w:val="false"/>
          <w:i w:val="false"/>
          <w:color w:val="000000"/>
          <w:sz w:val="28"/>
        </w:rPr>
        <w:t>
 </w:t>
      </w:r>
    </w:p>
    <w:p>
      <w:pPr>
        <w:spacing w:after="0"/>
        <w:ind w:left="0"/>
        <w:jc w:val="both"/>
      </w:pPr>
      <w:r>
        <w:drawing>
          <wp:inline distT="0" distB="0" distL="0" distR="0">
            <wp:extent cx="317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17500" cy="215900"/>
                    </a:xfrm>
                    <a:prstGeom prst="rect">
                      <a:avLst/>
                    </a:prstGeom>
                  </pic:spPr>
                </pic:pic>
              </a:graphicData>
            </a:graphic>
          </wp:inline>
        </w:drawing>
      </w:r>
    </w:p>
    <w:p>
      <w:pPr>
        <w:spacing w:after="0"/>
        <w:ind w:left="0"/>
        <w:jc w:val="both"/>
      </w:pPr>
      <w:r>
        <w:rPr>
          <w:rFonts w:ascii="Times New Roman"/>
          <w:b w:val="false"/>
          <w:i w:val="false"/>
          <w:color w:val="000000"/>
          <w:sz w:val="28"/>
        </w:rPr>
        <w:t xml:space="preserve">      = </w:t>
      </w:r>
    </w:p>
    <w:p>
      <w:pPr>
        <w:spacing w:after="0"/>
        <w:ind w:left="0"/>
        <w:jc w:val="both"/>
      </w:pPr>
      <w:r>
        <w:drawing>
          <wp:inline distT="0" distB="0" distL="0" distR="0">
            <wp:extent cx="317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17500" cy="215900"/>
                    </a:xfrm>
                    <a:prstGeom prst="rect">
                      <a:avLst/>
                    </a:prstGeom>
                  </pic:spPr>
                </pic:pic>
              </a:graphicData>
            </a:graphic>
          </wp:inline>
        </w:drawing>
      </w:r>
    </w:p>
    <w:p>
      <w:pPr>
        <w:spacing w:after="0"/>
        <w:ind w:left="0"/>
        <w:jc w:val="both"/>
      </w:pPr>
      <w:r>
        <w:rPr>
          <w:rFonts w:ascii="Times New Roman"/>
          <w:b w:val="false"/>
          <w:i w:val="false"/>
          <w:color w:val="000000"/>
          <w:vertAlign w:val="subscript"/>
        </w:rPr>
        <w:t>з</w:t>
      </w:r>
      <w:r>
        <w:rPr>
          <w:rFonts w:ascii="Times New Roman"/>
          <w:b w:val="false"/>
          <w:i w:val="false"/>
          <w:color w:val="000000"/>
          <w:sz w:val="28"/>
        </w:rPr>
        <w:t xml:space="preserve"> + </w:t>
      </w:r>
    </w:p>
    <w:p>
      <w:pPr>
        <w:spacing w:after="0"/>
        <w:ind w:left="0"/>
        <w:jc w:val="both"/>
      </w:pPr>
      <w:r>
        <w:drawing>
          <wp:inline distT="0" distB="0" distL="0" distR="0">
            <wp:extent cx="317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17500" cy="215900"/>
                    </a:xfrm>
                    <a:prstGeom prst="rect">
                      <a:avLst/>
                    </a:prstGeom>
                  </pic:spPr>
                </pic:pic>
              </a:graphicData>
            </a:graphic>
          </wp:inline>
        </w:drawing>
      </w:r>
    </w:p>
    <w:p>
      <w:pPr>
        <w:spacing w:after="0"/>
        <w:ind w:left="0"/>
        <w:jc w:val="both"/>
      </w:pPr>
      <w:r>
        <w:rPr>
          <w:rFonts w:ascii="Times New Roman"/>
          <w:b w:val="false"/>
          <w:i w:val="false"/>
          <w:color w:val="000000"/>
          <w:vertAlign w:val="subscript"/>
        </w:rPr>
        <w:t>н</w:t>
      </w:r>
      <w:r>
        <w:br/>
      </w:r>
      <w:r>
        <w:rPr>
          <w:rFonts w:ascii="Times New Roman"/>
          <w:b w:val="false"/>
          <w:i w:val="false"/>
          <w:color w:val="000000"/>
          <w:sz w:val="28"/>
        </w:rPr>
        <w:t>
      мұндағы:</w:t>
      </w:r>
      <w:r>
        <w:br/>
      </w:r>
      <w:r>
        <w:rPr>
          <w:rFonts w:ascii="Times New Roman"/>
          <w:b w:val="false"/>
          <w:i w:val="false"/>
          <w:color w:val="000000"/>
          <w:sz w:val="28"/>
        </w:rPr>
        <w:t>
 </w:t>
      </w:r>
    </w:p>
    <w:p>
      <w:pPr>
        <w:spacing w:after="0"/>
        <w:ind w:left="0"/>
        <w:jc w:val="both"/>
      </w:pPr>
      <w:r>
        <w:drawing>
          <wp:inline distT="0" distB="0" distL="0" distR="0">
            <wp:extent cx="317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17500" cy="215900"/>
                    </a:xfrm>
                    <a:prstGeom prst="rect">
                      <a:avLst/>
                    </a:prstGeom>
                  </pic:spPr>
                </pic:pic>
              </a:graphicData>
            </a:graphic>
          </wp:inline>
        </w:drawing>
      </w:r>
    </w:p>
    <w:p>
      <w:pPr>
        <w:spacing w:after="0"/>
        <w:ind w:left="0"/>
        <w:jc w:val="both"/>
      </w:pPr>
      <w:r>
        <w:rPr>
          <w:rFonts w:ascii="Times New Roman"/>
          <w:b w:val="false"/>
          <w:i w:val="false"/>
          <w:color w:val="000000"/>
          <w:sz w:val="28"/>
        </w:rPr>
        <w:t>      – тәуекел дәрежесінің жалпы көрсеткіші;</w:t>
      </w:r>
      <w:r>
        <w:br/>
      </w:r>
      <w:r>
        <w:rPr>
          <w:rFonts w:ascii="Times New Roman"/>
          <w:b w:val="false"/>
          <w:i w:val="false"/>
          <w:color w:val="000000"/>
          <w:sz w:val="28"/>
        </w:rPr>
        <w:t>
 </w:t>
      </w:r>
    </w:p>
    <w:p>
      <w:pPr>
        <w:spacing w:after="0"/>
        <w:ind w:left="0"/>
        <w:jc w:val="both"/>
      </w:pPr>
      <w:r>
        <w:drawing>
          <wp:inline distT="0" distB="0" distL="0" distR="0">
            <wp:extent cx="317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17500" cy="215900"/>
                    </a:xfrm>
                    <a:prstGeom prst="rect">
                      <a:avLst/>
                    </a:prstGeom>
                  </pic:spPr>
                </pic:pic>
              </a:graphicData>
            </a:graphic>
          </wp:inline>
        </w:drawing>
      </w:r>
    </w:p>
    <w:p>
      <w:pPr>
        <w:spacing w:after="0"/>
        <w:ind w:left="0"/>
        <w:jc w:val="both"/>
      </w:pPr>
      <w:r>
        <w:rPr>
          <w:rFonts w:ascii="Times New Roman"/>
          <w:b w:val="false"/>
          <w:i w:val="false"/>
          <w:color w:val="000000"/>
          <w:vertAlign w:val="subscript"/>
        </w:rPr>
        <w:t>      з</w:t>
      </w:r>
      <w:r>
        <w:rPr>
          <w:rFonts w:ascii="Times New Roman"/>
          <w:b w:val="false"/>
          <w:i w:val="false"/>
          <w:color w:val="000000"/>
          <w:sz w:val="28"/>
        </w:rPr>
        <w:t xml:space="preserve"> – елеулі дәреже бұзушылықтарының көрсеткіші;</w:t>
      </w:r>
      <w:r>
        <w:br/>
      </w:r>
      <w:r>
        <w:rPr>
          <w:rFonts w:ascii="Times New Roman"/>
          <w:b w:val="false"/>
          <w:i w:val="false"/>
          <w:color w:val="000000"/>
          <w:sz w:val="28"/>
        </w:rPr>
        <w:t>
 </w:t>
      </w:r>
    </w:p>
    <w:p>
      <w:pPr>
        <w:spacing w:after="0"/>
        <w:ind w:left="0"/>
        <w:jc w:val="both"/>
      </w:pPr>
      <w:r>
        <w:drawing>
          <wp:inline distT="0" distB="0" distL="0" distR="0">
            <wp:extent cx="317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17500" cy="215900"/>
                    </a:xfrm>
                    <a:prstGeom prst="rect">
                      <a:avLst/>
                    </a:prstGeom>
                  </pic:spPr>
                </pic:pic>
              </a:graphicData>
            </a:graphic>
          </wp:inline>
        </w:drawing>
      </w:r>
    </w:p>
    <w:bookmarkStart w:name="z18" w:id="4"/>
    <w:p>
      <w:pPr>
        <w:spacing w:after="0"/>
        <w:ind w:left="0"/>
        <w:jc w:val="both"/>
      </w:pPr>
      <w:r>
        <w:rPr>
          <w:rFonts w:ascii="Times New Roman"/>
          <w:b w:val="false"/>
          <w:i w:val="false"/>
          <w:color w:val="000000"/>
          <w:vertAlign w:val="subscript"/>
        </w:rPr>
        <w:t>      н</w:t>
      </w:r>
      <w:r>
        <w:rPr>
          <w:rFonts w:ascii="Times New Roman"/>
          <w:b w:val="false"/>
          <w:i w:val="false"/>
          <w:color w:val="000000"/>
          <w:sz w:val="28"/>
        </w:rPr>
        <w:t xml:space="preserve"> – шамалы дәреже бұзушылықтарының көрсеткіші;</w:t>
      </w:r>
      <w:r>
        <w:br/>
      </w:r>
      <w:r>
        <w:rPr>
          <w:rFonts w:ascii="Times New Roman"/>
          <w:b w:val="false"/>
          <w:i w:val="false"/>
          <w:color w:val="000000"/>
          <w:sz w:val="28"/>
        </w:rPr>
        <w:t>
      Тәуекел дәрежесінің көрсеткіштері бойынша тексерілетін субъект (объект):</w:t>
      </w:r>
      <w:r>
        <w:br/>
      </w:r>
      <w:r>
        <w:rPr>
          <w:rFonts w:ascii="Times New Roman"/>
          <w:b w:val="false"/>
          <w:i w:val="false"/>
          <w:color w:val="000000"/>
          <w:sz w:val="28"/>
        </w:rPr>
        <w:t xml:space="preserve">
      1) тәуекел дәрежесінің көрсеткіші 60-тан 100-ге дейін болған кезде және оған қатысты іріктеп тексеру жүргізілгенде – елеулі тәуекел дәрежесіне; </w:t>
      </w:r>
      <w:r>
        <w:br/>
      </w:r>
      <w:r>
        <w:rPr>
          <w:rFonts w:ascii="Times New Roman"/>
          <w:b w:val="false"/>
          <w:i w:val="false"/>
          <w:color w:val="000000"/>
          <w:sz w:val="28"/>
        </w:rPr>
        <w:t xml:space="preserve">
      2) тәуекел дәрежесінің көрсеткіші 0-ден 60-қа дейін болған кезде және оған қатысты жоспардан тыс тексерулер ғана жүргізілгенде – шамалы тәуекел дәрежесіне жатады. </w:t>
      </w:r>
      <w:r>
        <w:br/>
      </w:r>
      <w:r>
        <w:rPr>
          <w:rFonts w:ascii="Times New Roman"/>
          <w:b w:val="false"/>
          <w:i w:val="false"/>
          <w:color w:val="000000"/>
          <w:sz w:val="28"/>
        </w:rPr>
        <w:t>
      10.Іріктеп тексерулер жүргізілетін талдау мен бағалау нәтижелері бойынша жарты жылға құрылатын іріктеп тексерулер тізімдерінің негізінде жүргізіледі, олар тиісті есепті жыл басталғанға дейін күнтізбелік он күннен кешіктірмей құқықтық статистика және арнайы есепке алу жөніндегі уәкілетті органға жіберіледі.</w:t>
      </w:r>
      <w:r>
        <w:br/>
      </w:r>
      <w:r>
        <w:rPr>
          <w:rFonts w:ascii="Times New Roman"/>
          <w:b w:val="false"/>
          <w:i w:val="false"/>
          <w:color w:val="000000"/>
          <w:sz w:val="28"/>
        </w:rPr>
        <w:t>
</w:t>
      </w:r>
      <w:r>
        <w:rPr>
          <w:rFonts w:ascii="Times New Roman"/>
          <w:b w:val="false"/>
          <w:i w:val="false"/>
          <w:color w:val="000000"/>
          <w:sz w:val="28"/>
        </w:rPr>
        <w:t>
      11.Іріктеп тексерулердің тізімдері:</w:t>
      </w:r>
      <w:r>
        <w:br/>
      </w:r>
      <w:r>
        <w:rPr>
          <w:rFonts w:ascii="Times New Roman"/>
          <w:b w:val="false"/>
          <w:i w:val="false"/>
          <w:color w:val="000000"/>
          <w:sz w:val="28"/>
        </w:rPr>
        <w:t>
      1) субъективті критерийлер бойынша тәуекел дәрежесінің ең жоғары көрсеткіші бар тексерілетін субъектілердің (объектілердің) басымдығы;</w:t>
      </w:r>
      <w:r>
        <w:br/>
      </w:r>
      <w:r>
        <w:rPr>
          <w:rFonts w:ascii="Times New Roman"/>
          <w:b w:val="false"/>
          <w:i w:val="false"/>
          <w:color w:val="000000"/>
          <w:sz w:val="28"/>
        </w:rPr>
        <w:t>
      2) мемлекеттік органның тексеру жүргізуді жүзеге асыратын лауазымды адамдарының жүктемесі ескеріле отырып жасалады.</w:t>
      </w:r>
      <w:r>
        <w:br/>
      </w:r>
      <w:r>
        <w:rPr>
          <w:rFonts w:ascii="Times New Roman"/>
          <w:b w:val="false"/>
          <w:i w:val="false"/>
          <w:color w:val="000000"/>
          <w:sz w:val="28"/>
        </w:rPr>
        <w:t>
 </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0" w:id="5"/>
          <w:p>
            <w:pPr>
              <w:spacing w:after="20"/>
              <w:ind w:left="20"/>
              <w:jc w:val="both"/>
            </w:pPr>
            <w:r>
              <w:rPr>
                <w:rFonts w:ascii="Times New Roman"/>
                <w:b w:val="false"/>
                <w:i w:val="false"/>
                <w:color w:val="000000"/>
                <w:sz w:val="20"/>
              </w:rPr>
              <w:t>
Табиғи монополиялар</w:t>
            </w:r>
            <w:r>
              <w:br/>
            </w:r>
            <w:r>
              <w:rPr>
                <w:rFonts w:ascii="Times New Roman"/>
                <w:b w:val="false"/>
                <w:i w:val="false"/>
                <w:color w:val="000000"/>
                <w:sz w:val="20"/>
              </w:rPr>
              <w:t>
салаларындағы тәуекел</w:t>
            </w:r>
            <w:r>
              <w:br/>
            </w:r>
            <w:r>
              <w:rPr>
                <w:rFonts w:ascii="Times New Roman"/>
                <w:b w:val="false"/>
                <w:i w:val="false"/>
                <w:color w:val="000000"/>
                <w:sz w:val="20"/>
              </w:rPr>
              <w:t>
дәрежесін бағалау</w:t>
            </w:r>
            <w:r>
              <w:br/>
            </w:r>
            <w:r>
              <w:rPr>
                <w:rFonts w:ascii="Times New Roman"/>
                <w:b w:val="false"/>
                <w:i w:val="false"/>
                <w:color w:val="000000"/>
                <w:sz w:val="20"/>
              </w:rPr>
              <w:t>
критерийлеріне</w:t>
            </w:r>
            <w:r>
              <w:br/>
            </w:r>
            <w:r>
              <w:rPr>
                <w:rFonts w:ascii="Times New Roman"/>
                <w:b w:val="false"/>
                <w:i w:val="false"/>
                <w:color w:val="000000"/>
                <w:sz w:val="20"/>
              </w:rPr>
              <w:t>
1-қосымша</w:t>
            </w:r>
          </w:p>
          <w:bookmarkEnd w:id="5"/>
        </w:tc>
      </w:tr>
    </w:tbl>
    <w:bookmarkStart w:name="z21" w:id="6"/>
    <w:p>
      <w:pPr>
        <w:spacing w:after="0"/>
        <w:ind w:left="0"/>
        <w:jc w:val="left"/>
      </w:pPr>
      <w:r>
        <w:rPr>
          <w:rFonts w:ascii="Times New Roman"/>
          <w:b/>
          <w:i w:val="false"/>
          <w:color w:val="000000"/>
        </w:rPr>
        <w:t xml:space="preserve"> 
Табағи монополия субъетілеріне арналған субъективтік</w:t>
      </w:r>
      <w:r>
        <w:br/>
      </w:r>
      <w:r>
        <w:rPr>
          <w:rFonts w:ascii="Times New Roman"/>
          <w:b/>
          <w:i w:val="false"/>
          <w:color w:val="000000"/>
        </w:rPr>
        <w:t>
критерийлер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1"/>
        <w:gridCol w:w="3"/>
        <w:gridCol w:w="10956"/>
        <w:gridCol w:w="1"/>
        <w:gridCol w:w="1"/>
        <w:gridCol w:w="47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Талапты бұзушылық</w:t>
            </w: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ауыртпалығының дәрежесі</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субъектілердің ұсынылған есіптілік мен ақпарат нәтижесі бойынша мониторингі</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талап етуі бойынша қаржылық есептілік пен өзге де қажетті ақпаратты уәкілетті орган белгілеген мерзімде ұсынбау.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Шамалы</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салыстырмалы талдау әдісін қолдана отырып бекітілген жағдайда "Табиғи монополиялар және реттелетін нарықтар туралы" Қазақстан Республикасының </w:t>
            </w:r>
            <w:r>
              <w:rPr>
                <w:rFonts w:ascii="Times New Roman"/>
                <w:b w:val="false"/>
                <w:i w:val="false"/>
                <w:color w:val="000000"/>
                <w:sz w:val="20"/>
                <w:u w:val="single"/>
              </w:rPr>
              <w:t>Заңында</w:t>
            </w:r>
            <w:r>
              <w:rPr>
                <w:rFonts w:ascii="Times New Roman"/>
                <w:b w:val="false"/>
                <w:i w:val="false"/>
                <w:color w:val="000000"/>
                <w:sz w:val="20"/>
              </w:rPr>
              <w:t xml:space="preserve"> белгіленген тоқсн (жыл) қорытындылары бойынша қызмет туралы ақпаратты ұсынбау.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Шамалы</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бағдарламаны (жобаны) іске асыру кезеңінде инвестициялық бағдарламаның (жобаның) орындалуы туралы есепті</w:t>
            </w:r>
            <w:r>
              <w:rPr>
                <w:rFonts w:ascii="Times New Roman"/>
                <w:b w:val="false"/>
                <w:i w:val="false"/>
                <w:color w:val="000000"/>
                <w:sz w:val="20"/>
                <w:u w:val="single"/>
              </w:rPr>
              <w:t>Заңда</w:t>
            </w:r>
            <w:r>
              <w:rPr>
                <w:rFonts w:ascii="Times New Roman"/>
                <w:b w:val="false"/>
                <w:i w:val="false"/>
                <w:color w:val="000000"/>
                <w:sz w:val="20"/>
              </w:rPr>
              <w:t xml:space="preserve"> белгіленген мерзімде ұсынбау.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Шамалы </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Тарифтік сметаны орындау туралы жыл сайынғы есепті </w:t>
            </w:r>
            <w:r>
              <w:rPr>
                <w:rFonts w:ascii="Times New Roman"/>
                <w:b w:val="false"/>
                <w:i w:val="false"/>
                <w:color w:val="000000"/>
                <w:sz w:val="20"/>
                <w:u w:val="single"/>
              </w:rPr>
              <w:t>Заңда</w:t>
            </w:r>
            <w:r>
              <w:rPr>
                <w:rFonts w:ascii="Times New Roman"/>
                <w:b w:val="false"/>
                <w:i w:val="false"/>
                <w:color w:val="000000"/>
                <w:sz w:val="20"/>
              </w:rPr>
              <w:t xml:space="preserve"> белгіленген мерзімде ұсынбау.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Шамалы</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айқындайтын тәртіппен, </w:t>
            </w:r>
            <w:r>
              <w:rPr>
                <w:rFonts w:ascii="Times New Roman"/>
                <w:b w:val="false"/>
                <w:i w:val="false"/>
                <w:color w:val="000000"/>
                <w:sz w:val="20"/>
                <w:u w:val="single"/>
              </w:rPr>
              <w:t>Заңда</w:t>
            </w:r>
            <w:r>
              <w:rPr>
                <w:rFonts w:ascii="Times New Roman"/>
                <w:b w:val="false"/>
                <w:i w:val="false"/>
                <w:color w:val="000000"/>
                <w:sz w:val="20"/>
              </w:rPr>
              <w:t xml:space="preserve"> белгіленген мерзімде инвестициялық бағдарламаның (жобаның) орындалуы туралы есепті бұқаралық ақпарат құралдарында, оның ішінде өзінің интернет-ресурсында не уәкілетті органның интернет-ресурсында орналастырмау.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Шамалы</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мен тұтынушыларды тарифтердi (бағаларды, алымдар мөлшерлемелерн) төмендету туралы </w:t>
            </w:r>
            <w:r>
              <w:rPr>
                <w:rFonts w:ascii="Times New Roman"/>
                <w:b w:val="false"/>
                <w:i w:val="false"/>
                <w:color w:val="000000"/>
                <w:sz w:val="20"/>
                <w:u w:val="single"/>
              </w:rPr>
              <w:t>Заңда</w:t>
            </w:r>
            <w:r>
              <w:rPr>
                <w:rFonts w:ascii="Times New Roman"/>
                <w:b w:val="false"/>
                <w:i w:val="false"/>
                <w:color w:val="000000"/>
                <w:sz w:val="20"/>
              </w:rPr>
              <w:t xml:space="preserve"> белгіленген мерзімде хабардар етпеу.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Шамалы</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электр желісі компаниясының көрсетілетін қызметтердің нақты (өткен күнтізбелік жыл үшін) және жоспарланып отырған (алдағы күнтізбелік үш жылға арналған) шығынары мен көлемдері туралы, сондай-ақ негіздеуші материалдарды қоса бере отырып қызметтің техникалық-экономикалық көрсеткіштері туралы ақпаратты ұсынбауы.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Шамалы</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бастамасы бойынша тарифтер (бағалар, алымдар мөлшерлемелері) немесе олардың шектi деңгейлерi және тарифтiк сметалар қайта қаралған жағдайда, табиғи монополия субъектiсiнің тиісті талапты алған күннен бастап бiр ай мерзiмде экономикалық тұрғыдан негiзделген есептердi және өзге де ақпаратты жаңа тарифтi (бағаны, алым мөлшерлемесін) бекiту үшiн өтiнiм беру кезiндегiдей ұсынбау.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Шамалы</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тексерулердің нәтижелері бойынша</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ауыртпалық</w:t>
            </w:r>
            <w:r>
              <w:rPr>
                <w:rFonts w:ascii="Times New Roman"/>
                <w:b w:val="false"/>
                <w:i/>
                <w:color w:val="000000"/>
                <w:sz w:val="20"/>
              </w:rPr>
              <w:t xml:space="preserve"> дәрежесі төменде санамаланған талаптар сақталмаған жағдайда белгіленеді)</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назарына тарифтердiң (бағалардың, алымдар мөлшерлемелерінің) немесе олардың шектi деңгейлерiнiң өзгертiлгенi туралы ақпаратты, сондай-ақ қуаттылығы аз табиғи монополия субъектiсi жеткiзу.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Шамалы</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қатысатын кредиттік бюроға кредиттік ақпаратты табыс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Шамалы</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Реттеліп көрсетілетін қызметтермен (тауарлармен, жұмыстармен) технологиялық жағынан байланысты қызметтерді көрсету кезінде табиғи монополия субъектісінің </w:t>
            </w:r>
            <w:r>
              <w:rPr>
                <w:rFonts w:ascii="Times New Roman"/>
                <w:b w:val="false"/>
                <w:i w:val="false"/>
                <w:color w:val="000000"/>
                <w:sz w:val="20"/>
                <w:u w:val="single"/>
              </w:rPr>
              <w:t>Заңда</w:t>
            </w:r>
            <w:r>
              <w:rPr>
                <w:rFonts w:ascii="Times New Roman"/>
                <w:b w:val="false"/>
                <w:i w:val="false"/>
                <w:color w:val="000000"/>
                <w:sz w:val="20"/>
              </w:rPr>
              <w:t xml:space="preserve"> белгіленген мерзімде осы қызметті көрсететіні туралы хабарлама жіберу.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монополия субъектiсiнiң (бұдан әрі - Субъект) өндiрiспен және реттелiп көрсетiлетiн қызметтердi (тауарларды, жұмыстарды) ұсынуымен, сондай-ақ </w:t>
            </w:r>
            <w:r>
              <w:rPr>
                <w:rFonts w:ascii="Times New Roman"/>
                <w:b w:val="false"/>
                <w:i w:val="false"/>
                <w:color w:val="000000"/>
                <w:sz w:val="20"/>
                <w:u w:val="single"/>
              </w:rPr>
              <w:t>Заңға</w:t>
            </w:r>
            <w:r>
              <w:rPr>
                <w:rFonts w:ascii="Times New Roman"/>
                <w:b w:val="false"/>
                <w:i w:val="false"/>
                <w:color w:val="000000"/>
                <w:sz w:val="20"/>
              </w:rPr>
              <w:t xml:space="preserve"> сәйкес Субъект үшiн рұқсат етiлген қызметтi жүзее асырумен байланысы жоқ мүлiкке меншiк және (немесе) шаруашылық жүргiзу құқығына ие болу.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жинақтаушы зейнетақы қорларынан, арнайы қаржы компанияларынан, жаңартылатын энергия көздерін қолдау жөніндегі қаржы-есеп айырысу орталығынан, сондай-ақ таби и монополия субъектiсi үшiн </w:t>
            </w:r>
            <w:r>
              <w:rPr>
                <w:rFonts w:ascii="Times New Roman"/>
                <w:b w:val="false"/>
                <w:i w:val="false"/>
                <w:color w:val="000000"/>
                <w:sz w:val="20"/>
                <w:u w:val="single"/>
              </w:rPr>
              <w:t>Заңда</w:t>
            </w:r>
            <w:r>
              <w:rPr>
                <w:rFonts w:ascii="Times New Roman"/>
                <w:b w:val="false"/>
                <w:i w:val="false"/>
                <w:color w:val="000000"/>
                <w:sz w:val="20"/>
              </w:rPr>
              <w:t xml:space="preserve"> рұқсат етiлген қызметтi жүзеге асыратын өзге де ұйымдардан басқа, коммерциялық ұйымдардың акцияларының (қатысу үлестерінің) болуы немесе олардың қызметiне өзге жолмен қатысуы.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Реттелiп көрсетiлетiн қызметтерд тауарларды, жұмыстарды) өндiрген және (немесе) ұсынған кезде технологиялық циклда пайдаланылатын жеке меншiк құқығымен немесе заңды негiзде өзгеше тиесiлi мүлiктi сенiмгерлiк басқаруға, лизингтi қоса алғанд, мүлiктiк жалдау (жалға беру).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Ұынлатын реттеліп көрсетілетін қызметтерге (тауарларға, жұмыстарға) байланысты талап ету құқығын басқаға беру.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Реттелiп көрсетiлетiн қызметтерге (тауарларға, жұмыстарға) байланысты емес шығындарды олардың тарифтерiне (бағаларға, алымдар мөлшерлмлеріне) немесе олардың шектi деңгейiне енгiзу.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тәртіппен бекітілген инвестициялық бағдарламаларда (жобаларда) көзделген қаражатты мақсатсыз пайдалануға жол беру.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Тарифтiк сметада қамтылатын, реттелiп көрсетiлетiн коммуналдық қызметтердiң есептеу аспаптарын сатып алу мен орнату шығындары және ақы алу тетiгi, реттелiп көрсетiлетiн коммунадық қызметтердiң есептеу аспаптарын сатып алу және орнату туралы ұсынылатын реттелiп көрсетiлетiн коммуналдық қызметтер (ауарлар, жұмыстар) туралы ақпаратты коммерциялық құпия деп тану.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Неғұрлым тиімді әдістер мен технологияларды қолдануға, нормативтік техникалық ысыраптарды төмендету жөніндегі іс-шараларды өткізуге немесе реттеліп көрсетілетін қызметтердің көлемдерін табиғи монополия субъектісіне байланысты емес себептер бойынша қысқартуға байланысты немесе конкурстық (тендерлік) рәсімдерді өткізу нәтижелері бойынша шығындарды үнемдеу нәтижесінде туындаған, тарифтік сметаға салынған шығындардың толық пайдаланылмғн бөлігінің кемінде елу пайызын жаңа өндірістік активтерді жасауға, кеңейтуге, қалпына келтіруге, жаңартуға, қолдауға, реконструкциялауға және техникалық қайта жарақтандыруға бағыттау.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Заңда</w:t>
            </w:r>
            <w:r>
              <w:rPr>
                <w:rFonts w:ascii="Times New Roman"/>
                <w:b w:val="false"/>
                <w:i w:val="false"/>
                <w:color w:val="000000"/>
                <w:sz w:val="20"/>
              </w:rPr>
              <w:t xml:space="preserve"> және Қазақстан Республикасының өзге де заңнамалық актiлерiнде белгiленген тәртiппен шығындары табиғи монополия субъектiсiнiң реттелiп көрсетiлетiн қызметтерiне (тауарларына, жұмыстарына) тарифтi (бағаны, алым мөлшерлемесін) немесе оның шектi деңгейiн және тарифтiк сметаларды бекiту кезiнде ескерiлетiн қызметтердi (тaуapлapды, жұмыстарды) сатып алуды жүзеге асыру.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Реттелiп көрсетiлетiн қызметтердiң (тауарлардың, жұмыстардың) әрбiр түрi бойынша және тұтас алғанда уәкiлеттi орган бекiткен тәртiппен өзге де қызмет бойынша кiрiстердiң, шығындар мен қолданысқа енгiзiлген активтердiң бөлек есебiн жүргiзу.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Тарифтiк сметаны орындау.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бекіткен үлгі шарттарға сәйкес реттелiп көрсетiлетiн коммуналдық қызметтердiң (тауарлардың, жұмыстардың) әрбiр түрiне, сонда-қ реттелiп көрсетiлетiн өзге де қызметтердiң (тауарлардың, жұмыстардың) әрбiр түрiне және (немесе) жиынтығына тұтынушылармен жеке шарттар жасасу.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бекіткен ынтымақтастықтың үлгі шарттарына сәйкес кондоминиум объектісін басқару органымен реттеліп көрсетілетін коммуналдық қызметтердің (тауарлардың, жұмыстардың) әрбір түріне ынтымақтастық шарттарын жасасу.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салық заңнамасы тиiсiнше өзгертiлiп, соның нәтижесiнде Субъект шығындарының құны азайған жағдайда, барлық тұтынушылар үшiн реттелiп көрсетiлетiн қызметтерге (тауарларға, жұмыстарға) тарифтердi (бағаларды, алым мөлшерлемелерін) немесе олардың шектi деңгейлерiн аталған өзгерiстер қолданысқа енгiзiлген күннен бастап уәкiлеттi орган бекiткен тәртiппен төмендету.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Мүлiктi мемлекет меншiгiне беру жағдайларын қоспағанда, өндiрiске және реттелiп көрсетiлетiн қызметтердi (тауарларды, жұмыстарды) ұсынуға арналған мүлiктi тендер нысанындағы сауда-саттықта иелiктен айыру.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реттелетiн қызмет түрлерi бойынша кiрiстердi, шығындар мен қолданысқа енгізілген активтердiң бөлек есебін жүргізу әдiстемесiн әзiрлеу және келісу.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тәртіппен бекітілген инвестициялық бағдарламаларды (жобаларды) орындау және инвестициялық бағдарламада (жобада) көзделген қаражатты қолда бар активтерді қалпына келтіруге, жаңартуға, кеңейтуге, қолдауға, негізгі құралдарды реконструкциялауға, техникалық қайта жарақтандыруға басымдықпен бағыттау.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Нормативтен тыс ысыраптардың болуына жол беру.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техникалық ысыраптардың деңгейін уәкілетті орган белгілеген шамаға және мерзімге төмендету.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Заңның </w:t>
            </w:r>
            <w:r>
              <w:rPr>
                <w:rFonts w:ascii="Times New Roman"/>
                <w:b w:val="false"/>
                <w:i w:val="false"/>
                <w:color w:val="000000"/>
                <w:sz w:val="20"/>
                <w:u w:val="single"/>
              </w:rPr>
              <w:t>18-1-бабында</w:t>
            </w:r>
            <w:r>
              <w:rPr>
                <w:rFonts w:ascii="Times New Roman"/>
                <w:b w:val="false"/>
                <w:i w:val="false"/>
                <w:color w:val="000000"/>
                <w:sz w:val="20"/>
              </w:rPr>
              <w:t xml:space="preserve"> көзделген іс-әрекеттерді жүзеге асыруға келісім беру туралы қолдаухатты немесе алдын ала хабарламаны ұсыну.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электр желісі компаниясының тарифтің өзгеруі туралы ақпаратты тұтынушының назарына </w:t>
            </w:r>
            <w:r>
              <w:rPr>
                <w:rFonts w:ascii="Times New Roman"/>
                <w:b w:val="false"/>
                <w:i w:val="false"/>
                <w:color w:val="000000"/>
                <w:sz w:val="20"/>
                <w:u w:val="single"/>
              </w:rPr>
              <w:t>Заңда</w:t>
            </w:r>
            <w:r>
              <w:rPr>
                <w:rFonts w:ascii="Times New Roman"/>
                <w:b w:val="false"/>
                <w:i w:val="false"/>
                <w:color w:val="000000"/>
                <w:sz w:val="20"/>
              </w:rPr>
              <w:t xml:space="preserve"> белгіленген мерзімде жеткізуі.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айқындайтын тәртіппен, сыртқы ауаның нақты температурасын ескере отырып, жылумен жабдықтау бойынша көрсетілетін қызметтердің құнын қайта есептеуден алынған қаражатты тікелей тұтынушыларға не тұтынушының тұрған жерін анықтау мүмкін болмаған жағдайда жылумен жабдықтау бойынша көрсетілетін қызметтерге ақы төлеу кезінде тарифті (бағаны, алым мөлшерлемесін) төмендету жолымен қайтару.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Субъектіні мемлекеттік қайта тіркеу, сондай-ақ оның қызметін тоқтатуды тіркеу туралы Субъектінің өтінішіне уәкілетті органның алдын ала келісімінің болуы.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немесе өзге де қызметпен айналысу, сондай-ақ тиісті лицензияның негізінде лицензиялануға жататын іс-әрекеттерді жүзеге асыру бөлігінде "Рұқсаттар және хабарламалар туралы" ҚР </w:t>
            </w:r>
            <w:r>
              <w:rPr>
                <w:rFonts w:ascii="Times New Roman"/>
                <w:b w:val="false"/>
                <w:i w:val="false"/>
                <w:color w:val="000000"/>
                <w:sz w:val="20"/>
                <w:u w:val="single"/>
              </w:rPr>
              <w:t>Заңын</w:t>
            </w:r>
            <w:r>
              <w:rPr>
                <w:rFonts w:ascii="Times New Roman"/>
                <w:b w:val="false"/>
                <w:i w:val="false"/>
                <w:color w:val="000000"/>
                <w:sz w:val="20"/>
              </w:rPr>
              <w:t xml:space="preserve"> бұзу.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құрылған Субъектілер үшін өтінімдерді қарауға </w:t>
            </w:r>
            <w:r>
              <w:rPr>
                <w:rFonts w:ascii="Times New Roman"/>
                <w:b w:val="false"/>
                <w:i w:val="false"/>
                <w:color w:val="000000"/>
                <w:sz w:val="20"/>
                <w:u w:val="single"/>
              </w:rPr>
              <w:t>Заңда</w:t>
            </w:r>
            <w:r>
              <w:rPr>
                <w:rFonts w:ascii="Times New Roman"/>
                <w:b w:val="false"/>
                <w:i w:val="false"/>
                <w:color w:val="000000"/>
                <w:sz w:val="20"/>
              </w:rPr>
              <w:t xml:space="preserve"> белгіленген мерзімде оларды ұсыну.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Теттеліп көрсетілетін қызметтерді (тауарларды, жұмыстарды) уәкілетті орган бекіткен тарифтер (бағалар, алымдар мөлшерлемелері) бойынша ұсыну.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расталған (негізді) шағымдары мен өтініштерінің болуы және саны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және реттелетін нарықтар туралы" Қазақстан Республикасы </w:t>
            </w:r>
            <w:r>
              <w:rPr>
                <w:rFonts w:ascii="Times New Roman"/>
                <w:b w:val="false"/>
                <w:i w:val="false"/>
                <w:color w:val="000000"/>
                <w:sz w:val="20"/>
                <w:u w:val="single"/>
              </w:rPr>
              <w:t>Заңында</w:t>
            </w:r>
            <w:r>
              <w:rPr>
                <w:rFonts w:ascii="Times New Roman"/>
                <w:b w:val="false"/>
                <w:i w:val="false"/>
                <w:color w:val="000000"/>
                <w:sz w:val="20"/>
              </w:rPr>
              <w:t xml:space="preserve"> (бұдан әрі – Заң) рұқсат етілген, уәкілетті органнан алынған келісімнің негізінде өзге қызметтен басқа қызметтерді жүзеге асыруға салынған тыйымды сақтамау.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белгiлеген мөлшерден асатын реттелiп көрсетiлетiн қызметтер (тауарлар, жұмыстар) үшiн ақы алуға салынған тыйымды сақтамау.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Заңда</w:t>
            </w:r>
            <w:r>
              <w:rPr>
                <w:rFonts w:ascii="Times New Roman"/>
                <w:b w:val="false"/>
                <w:i w:val="false"/>
                <w:color w:val="000000"/>
                <w:sz w:val="20"/>
              </w:rPr>
              <w:t xml:space="preserve"> көзделмеген қосымша ақы алу немесе өзінің мазмұны бойынша реттеліп көрсетілетін қызметтердің мәніне қатысы жоқ (қаржылық қаражаттарды және өзге де мүлікті, мүліктік құқықтарды және басқаны беру) қосымша міндеттемелерді өзге түрде тану жөнінде салынған тыйымды сақтамау.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субъектiлерiнiң реттелiп көрсетiлетiн қызметтерiне (тауарларына, жұмыстарына) қол жеткiзу шарттарын күштеп таңуға немесе тұтынушыларды кемсiтуге әкеп соғатын өзге де iс-әрекеттер жасауға салынған тыйымды сақтамау.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Реттелiп көрсетiлетiн қызметтердiң (тауарлардың, жұмыстардың) көлемiн жосықсыз тұтынушылардың төлемеуiне байланысты адал тұтынушыларға реттелiп көрсетiлетiн қызметтер (тауарлар, жұмыстар) ұсынудан бас тартуға салынған тыйымды сақтамау.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 өздерiнiң құзыретi шегiнде белгiлеген, реттелiп көрсетiлетiн қызметтердiң (тауарлардың, жұмыстардың) сапасына қойылатын талаптарға сәйкес келмейтiн реттелiп көрсетiлетiн қызметтерге (тауарларға, жұмыстарға) ақы талап етуге салынған тыйымды сақтамау.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Реттеліп көрсетілетін қызметтердің (тауарлардың, жұмыстардың) тұтынушыларына реттеліп көрсетілетін қызметтердің (тауарлардың, жұмыстардың) сапасына қойылатын, мемлекеттік органдар өздерінің құзыреті шегінде белгілеген талаптарға сәйкес жалпыға бірдей қызмет көрсетілуін қамтамасыз етуге салынған тыйымды сақтамау.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Тұтынушыларға ұсынылатын реттеліп көрсетілетін коммуналдық қызметтер (тауарлар, жұмыстар) үшiн олардан өз кассалары, сондай-ақ банктер және банк операцияларының жекелеген түрлерiн жүзеге асыратын ұйымдар, интернет-ресурстар және (немесе) терминалдар арқылы төлемдер қабылдауды қамтамасыз етуге салынған тыйымды сақтамау.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Реттелiп көрсетiлетiн қызметтерге (тауарларға, жұмыстарға) қол жеткізудің тең жағдайларын ұсынбау.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Тарифтiң (бағаның, алым мөлшерлемесінің) шектi деңгейi бекiтiлген жағдайда, барлық тұтынушылар үшiн реттелiп көрсетiлетiн қызметтердi (тауарларды, жұмыстарды) тарифтiң (бағаның, алым мөлшерлемесінің) шектi деңгейiнен аспайтын бiрыңғай тарифтер (бағалар, алым мөлшерлемелері) деңгейлерi бойынша ұсынбау.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Тұтынушылармен жасалған шарттарға сәйкес реттелiп көрсетiлетiн коммуналдық қызметтердi (тауарларды, жұмыстарды) есептеу аспаптарын сатып алмау және оларды тұтынушыларға орнатпау.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аспабы iстен шыққан жағдайда, есептеу аспаптарының орташа айлық көрсеткiштерi бойынша реттелiп көрсетiлетiн коммуналдық қызметтер (тауарлар, жұмыстар) үшін уәкiлеттi орган белгiлеген тәртiппен ақы өндiрiп алмау.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Реттелiп көрсетiлетiн қызметтер (тауарлар, жұмыстар) ұсынуға шарттар жасасу кезiнде тұтынушылар құқықтарының бұзылуына жол бермеу.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Заңның 7-бабының </w:t>
            </w:r>
            <w:r>
              <w:rPr>
                <w:rFonts w:ascii="Times New Roman"/>
                <w:b w:val="false"/>
                <w:i w:val="false"/>
                <w:color w:val="000000"/>
                <w:sz w:val="20"/>
                <w:u w:val="single"/>
              </w:rPr>
              <w:t>3-1)</w:t>
            </w:r>
            <w:r>
              <w:rPr>
                <w:rFonts w:ascii="Times New Roman"/>
                <w:b w:val="false"/>
                <w:i w:val="false"/>
                <w:color w:val="000000"/>
                <w:sz w:val="20"/>
              </w:rPr>
              <w:t xml:space="preserve"> тармақшасында көзделген жағдайды ескере отырып, уәкілетті орган бекіткен тарифтердің (бағалардың, алымдар мөлшерлемелерінің) шекті деңгейлері бойынша реттеліп көрсетілетін қызметтер ұсынбау.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Тұтынушыларға қызметтер көрсету стандарттарын сақтамау.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интернет-ресурстардың және бұқаралық ақпарат құралдарының талдау нәтижелері бойынша</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r>
              <w:br/>
            </w:r>
            <w:r>
              <w:rPr>
                <w:rFonts w:ascii="Times New Roman"/>
                <w:b w:val="false"/>
                <w:i w:val="false"/>
                <w:color w:val="000000"/>
                <w:sz w:val="20"/>
              </w:rPr>
              <w:t>
 </w:t>
            </w:r>
          </w:p>
        </w:tc>
        <w:tc>
          <w:tcPr>
            <w:tcW w:w="10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қоғамдар болып табылатын табиғи монополиялар субъектілері үшін Қазақстан Республикасының заңнамасында белгіленген тәртіппен табиғи монополия субъектісінің интернет -ресурсында орналастырып және мерзімді баспасөз басылымдарында жариялап, табиғи монополия субъектілері үшін жыл сайынғы міндетті аудитті жүргізбеу.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p>
        </w:tc>
        <w:tc>
          <w:tcPr>
            <w:tcW w:w="10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айқындайтын тәртіппен өзінің интернет-ресурсында не уәкілетті органның интернет-ресурсында тарифтік сметаның орындалуы туралы есепті орналастырмау.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c>
          <w:tcPr>
            <w:tcW w:w="10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 өзінің интернет-ресурсында бос және қолжетімді қуаттылықтардың, сыйымдылықтың, орындардың, реттеліп көрсетілетін коммуналдық қызметтер (тауарлар, жұмыстар) желілерінің өткізу қабілеттері, сондай-ақ инженерлік коммуникациялар схемасының бар екендігі туралы ақпаратты орналастырмау.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c>
          <w:tcPr>
            <w:tcW w:w="10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құпиялар туралы" Қазақстан Республикасының </w:t>
            </w:r>
            <w:r>
              <w:rPr>
                <w:rFonts w:ascii="Times New Roman"/>
                <w:b w:val="false"/>
                <w:i w:val="false"/>
                <w:color w:val="000000"/>
                <w:sz w:val="20"/>
                <w:u w:val="single"/>
              </w:rPr>
              <w:t>Заңына</w:t>
            </w:r>
            <w:r>
              <w:rPr>
                <w:rFonts w:ascii="Times New Roman"/>
                <w:b w:val="false"/>
                <w:i w:val="false"/>
                <w:color w:val="000000"/>
                <w:sz w:val="20"/>
              </w:rPr>
              <w:t xml:space="preserve"> сәйкес инженерлік коммуникациялар туралы мәліметтерді өзінің интернет-ресурсында беруді қамтамасыз етпеу.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r>
              <w:br/>
            </w:r>
            <w:r>
              <w:rPr>
                <w:rFonts w:ascii="Times New Roman"/>
                <w:b w:val="false"/>
                <w:i w:val="false"/>
                <w:color w:val="000000"/>
                <w:sz w:val="20"/>
              </w:rPr>
              <w:t>
 </w:t>
            </w:r>
          </w:p>
        </w:tc>
        <w:tc>
          <w:tcPr>
            <w:tcW w:w="10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айқындайтын тәртіппен, тұтынушылар және өзге де мүдделі тұлғалар алдында реттеліп көрсетілетін қызметтерді (тауарларды, жұмыстарды) ұсыну жөніндегі қызметі туралы негіздемелерімен және оларды бұқаралық ақпарат құралдарында, сондай-ақ уәкілетті орган белгілеген тәртіппен өзінің интернет-ресурсында не уәкілетті органның интернет-ресурсында орналастыра отырып, жыл сайын есеп беруді жүргізбеу.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r>
              <w:br/>
            </w:r>
            <w:r>
              <w:rPr>
                <w:rFonts w:ascii="Times New Roman"/>
                <w:b w:val="false"/>
                <w:i w:val="false"/>
                <w:color w:val="000000"/>
                <w:sz w:val="20"/>
              </w:rPr>
              <w:t>
 </w:t>
            </w:r>
          </w:p>
        </w:tc>
        <w:tc>
          <w:tcPr>
            <w:tcW w:w="10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айқындайтын тәртіппен тұтынушыларды инвестициялық бағдарламалардың (жобалардың), тарифтік сметалардың орындалу барысы туралы өзінің интернет-ресурсы не уәкілетті органның интернет-ресурсы арқылы жарты жылда бір рет хабардар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2" w:id="7"/>
          <w:p>
            <w:pPr>
              <w:spacing w:after="20"/>
              <w:ind w:left="20"/>
              <w:jc w:val="both"/>
            </w:pPr>
            <w:r>
              <w:rPr>
                <w:rFonts w:ascii="Times New Roman"/>
                <w:b w:val="false"/>
                <w:i w:val="false"/>
                <w:color w:val="000000"/>
                <w:sz w:val="20"/>
              </w:rPr>
              <w:t>
Реттелетін нарықтар</w:t>
            </w:r>
            <w:r>
              <w:br/>
            </w:r>
            <w:r>
              <w:rPr>
                <w:rFonts w:ascii="Times New Roman"/>
                <w:b w:val="false"/>
                <w:i w:val="false"/>
                <w:color w:val="000000"/>
                <w:sz w:val="20"/>
              </w:rPr>
              <w:t>
салаларындағы тәуекел дәрежесін</w:t>
            </w:r>
            <w:r>
              <w:br/>
            </w:r>
            <w:r>
              <w:rPr>
                <w:rFonts w:ascii="Times New Roman"/>
                <w:b w:val="false"/>
                <w:i w:val="false"/>
                <w:color w:val="000000"/>
                <w:sz w:val="20"/>
              </w:rPr>
              <w:t>
бағалау критерийлеріне</w:t>
            </w:r>
            <w:r>
              <w:br/>
            </w:r>
            <w:r>
              <w:rPr>
                <w:rFonts w:ascii="Times New Roman"/>
                <w:b w:val="false"/>
                <w:i w:val="false"/>
                <w:color w:val="000000"/>
                <w:sz w:val="20"/>
              </w:rPr>
              <w:t>
2-қосымша</w:t>
            </w:r>
          </w:p>
          <w:bookmarkEnd w:id="7"/>
        </w:tc>
      </w:tr>
    </w:tbl>
    <w:bookmarkStart w:name="z23" w:id="8"/>
    <w:p>
      <w:pPr>
        <w:spacing w:after="0"/>
        <w:ind w:left="0"/>
        <w:jc w:val="left"/>
      </w:pPr>
      <w:r>
        <w:rPr>
          <w:rFonts w:ascii="Times New Roman"/>
          <w:b/>
          <w:i w:val="false"/>
          <w:color w:val="000000"/>
        </w:rPr>
        <w:t xml:space="preserve"> 
Реттелетін нарық субъетілеріне арналған субъективтік</w:t>
      </w:r>
      <w:r>
        <w:br/>
      </w:r>
      <w:r>
        <w:rPr>
          <w:rFonts w:ascii="Times New Roman"/>
          <w:b/>
          <w:i w:val="false"/>
          <w:color w:val="000000"/>
        </w:rPr>
        <w:t>
критерийлер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10816"/>
        <w:gridCol w:w="582"/>
      </w:tblGrid>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Талапты бұзушылық</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ауыртпалығының дәрежесі</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субъектілердің ұсынылған есіптілік мен ақпарат нәтижесі бойынша мониторингі</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Қазақстан Республикасының бухгалтерлік есеп пен қаржылық есептілік туралы заңнамасына сәйкес есепті тоқсаннан кейінгі айдың соңғы күнінен кешіктірмей тоқсан сайынғы қаржылық есептілікті ұсыну.</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Шамалы</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уәкілетті орган бекіткен нысан бойынша есепті айдан кейінгі айдың соңғы күнінен кешіктірмей өндіру (өткізу) көлемдері, табыстылық деңгейі және өндірілетін (өткізілетін) тауарлардың (жұмыстардың, көрсетілетін қызметтердің) босатылу бағалары туралы ай сайынғы ақпаратты ұсыну.</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Шамалы </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Реттелетін нарықтардағы баға белгілеу тәртібіне сәйкес шекті бағаларда ескерілген инвестициялық бағдарламаның (жобаның) іс-шараларын орындау.</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оның талап етуімен бағаға сараптама жүргізу үшін қажетті ақпаратты уәкілетті орган белгілеген, реттелетін нарық субъектісі тиісті талапты алған күннен бастап бес жұмыс күнінен кем болмайтын мерзімде қағаз және (немесе) электрондық жеткізгіштерде ұсыну.</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шекті бағада ескерілген, кейіннен бұқаралық ақпарат құралдарында орналастырылатын инвестициялық бағдарламаның (жобаның) орындалуы не орындалмауы туралы жартыжылдық ақпаратты уәкілетті орган бекіткен нысан бойынша есепті жартыжылдықтан кейінгі айдың жиырма бесінен кешіктірмей ұсыну.</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тексерулердің нәтижелері бойынша</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ауыртпалық</w:t>
            </w:r>
            <w:r>
              <w:rPr>
                <w:rFonts w:ascii="Times New Roman"/>
                <w:b w:val="false"/>
                <w:i/>
                <w:color w:val="000000"/>
                <w:sz w:val="20"/>
              </w:rPr>
              <w:t xml:space="preserve"> дәрежесі төменде санамаланған талаптар сақталмаған жағдайда белгіленеді)</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Алдағы уақытта тауарларға (жұмыстарға, көрсетілетін қызметтерге) бағалардың шекті бағадан жоғары өсетіні және өсу себептерін растайтын (реттелетін нарықтарда үстем немесе монополиялық жағдайға ие емес бөлшек сауда нарығы субъектілерін қоспағанда) негіздемелік материалдарды ұсына отырып, олардың өсу себептері туралы кемінде күнтізбелік отыз күн бұрын жазбаша түрде немесе уәкілетті органның электрондық құжат айналымы жүйесі арқылы электрондық құжат түрінде уәкілетті органды хабардар ету.</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бағаларды мемлекеттік реттеу енгізілген немесе өнімдердің, тауарлардың және көрсетілетін қызметтердің номенклатураға енгізілген күнінен бастап күнтізбелік отыз күннен кешіктірмей, баға деңгейін растайтын негіздемелік материалдарды қоса бере отырып, босату бағалары туралы ақпаратты ұсыну.</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немесе өзге де қызметпен айналысу, сондай-ақ тиісті лицензияның негізінде лицензиялануға жататын іс-әрекеттерді жүзеге асыру ("Рұқсаттар және хабарламалар туралы" </w:t>
            </w:r>
            <w:r>
              <w:rPr>
                <w:rFonts w:ascii="Times New Roman"/>
                <w:b w:val="false"/>
                <w:i w:val="false"/>
                <w:color w:val="000000"/>
                <w:sz w:val="20"/>
              </w:rPr>
              <w:t>Заңны</w:t>
            </w:r>
            <w:r>
              <w:rPr>
                <w:rFonts w:ascii="Times New Roman"/>
                <w:b w:val="false"/>
                <w:i w:val="false"/>
                <w:color w:val="000000"/>
                <w:sz w:val="20"/>
              </w:rPr>
              <w:t>).</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Реттелетін нарықтардағы бағаны белгілеу тәртібін сақтауға.</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және шекті бағаларда ескерілген инвестициялық бағдарламаларды (жобаларды) іске асыруға пайдаланылмаған табысты тікелей тұтынушыларға не тұтынушылардың толық тізбесін белгілеу мүмкін болмаған жағдайда, реттелетін нарықтарда баға белгілеу тәртібіне сәйкес алдағы кезеңге шекті бағаның деңгейін төмендету арқылы қайтару.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расталған (негізді) шағымдары мен өтініштерінің болуы және саны</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Шекті бағаны негізсіз көтеру нәтижесінде алынған кірісті тікелей тұтынушыларға уәкілетті орган мұндай фактіні анықтаған кезден бастап күнтізбелік отыз күннен кешіктірмей не тұтынушылардың толық тізбесін анықтау мүмкін болмаған жағдайда, реттелетін нарықтардағы баға белгілеу тәртібіне сәйкес алдағы кезеңге шекті бағаның деңгейін төмендету жолымен қайтару жөніндегі талапты сақтау.</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