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6bf4" w14:textId="427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субъектілерінің қорықшылық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18-03/578 бұйрығы. Қазақстан Республикасының Әділет министрлігінде 2015 жылы 29 шілдеде № 11780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Аңшылық және балық шаруашылықтары субъектілерінің қорықшылық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18-03/578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Аңшылық және балық шаруашылықтары субъектілерінің</w:t>
      </w:r>
      <w:r>
        <w:br/>
      </w:r>
      <w:r>
        <w:rPr>
          <w:rFonts w:ascii="Times New Roman"/>
          <w:b/>
          <w:i w:val="false"/>
          <w:color w:val="000000"/>
        </w:rPr>
        <w:t>қорықшылық қызметі туралы үлгілік ереже</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Аңшылық және балық шаруашылықтары субъектілерінің қорықшылық қызметі туралы үлгілік ереже (бұдан әрі - Үлгілік ереже) "Жануарлар дүниесін қорғау, өсімін молайту және пайдалану туралы" 2004 жылғы 9 шілдедегі Қазақстан Республикасы Заңының (бұдан әрі - Заң) </w:t>
      </w:r>
      <w:r>
        <w:rPr>
          <w:rFonts w:ascii="Times New Roman"/>
          <w:b w:val="false"/>
          <w:i w:val="false"/>
          <w:color w:val="000000"/>
          <w:sz w:val="28"/>
        </w:rPr>
        <w:t>9-бабы</w:t>
      </w:r>
      <w:r>
        <w:rPr>
          <w:rFonts w:ascii="Times New Roman"/>
          <w:b w:val="false"/>
          <w:i w:val="false"/>
          <w:color w:val="000000"/>
          <w:sz w:val="28"/>
        </w:rPr>
        <w:t xml:space="preserve"> 1-тармағының 67) тармақшасына сәйкес әзірленді және қорықшылық қызметінің тәртібін айқындайды.</w:t>
      </w:r>
    </w:p>
    <w:bookmarkEnd w:id="8"/>
    <w:bookmarkStart w:name="z11" w:id="9"/>
    <w:p>
      <w:pPr>
        <w:spacing w:after="0"/>
        <w:ind w:left="0"/>
        <w:jc w:val="both"/>
      </w:pPr>
      <w:r>
        <w:rPr>
          <w:rFonts w:ascii="Times New Roman"/>
          <w:b w:val="false"/>
          <w:i w:val="false"/>
          <w:color w:val="000000"/>
          <w:sz w:val="28"/>
        </w:rPr>
        <w:t>
      2. Аңшылық және балық шаруашылығы субъектілерінің қорықшылық қызметі (бұдан әрі – қорықшылық қызмет) бекітіліп берілген аңшылық алқаптарында және балық шаруашылығы су айдындарында және (немесе) учаскелерінде жануарлар дүниесін қорғау функцияларын жүзеге асыратын аңшылық және балық шаруашылықтары субъектілерінің құрылымдық бөлімшесі болып табылады.</w:t>
      </w:r>
    </w:p>
    <w:bookmarkEnd w:id="9"/>
    <w:bookmarkStart w:name="z12" w:id="10"/>
    <w:p>
      <w:pPr>
        <w:spacing w:after="0"/>
        <w:ind w:left="0"/>
        <w:jc w:val="both"/>
      </w:pPr>
      <w:r>
        <w:rPr>
          <w:rFonts w:ascii="Times New Roman"/>
          <w:b w:val="false"/>
          <w:i w:val="false"/>
          <w:color w:val="000000"/>
          <w:sz w:val="28"/>
        </w:rPr>
        <w:t>
      3. Қорықшылық қызметі аңшылық және балық шаруашылықтары субъектісі директорының бұйрығымен құрылады және оған (басшылыққа) бағынады.</w:t>
      </w:r>
    </w:p>
    <w:bookmarkEnd w:id="10"/>
    <w:bookmarkStart w:name="z13" w:id="11"/>
    <w:p>
      <w:pPr>
        <w:spacing w:after="0"/>
        <w:ind w:left="0"/>
        <w:jc w:val="both"/>
      </w:pPr>
      <w:r>
        <w:rPr>
          <w:rFonts w:ascii="Times New Roman"/>
          <w:b w:val="false"/>
          <w:i w:val="false"/>
          <w:color w:val="000000"/>
          <w:sz w:val="28"/>
        </w:rPr>
        <w:t>
      4. Қорықшылық қызметке аңшылық және балық шаруашылығы субъектілерінің қызметкерлері: аңшылық және балық шаруашылығы директорлары, аға қорықшылар (болған жағдайда), қорықшылар жатады.</w:t>
      </w:r>
    </w:p>
    <w:bookmarkEnd w:id="11"/>
    <w:bookmarkStart w:name="z14" w:id="12"/>
    <w:p>
      <w:pPr>
        <w:spacing w:after="0"/>
        <w:ind w:left="0"/>
        <w:jc w:val="both"/>
      </w:pPr>
      <w:r>
        <w:rPr>
          <w:rFonts w:ascii="Times New Roman"/>
          <w:b w:val="false"/>
          <w:i w:val="false"/>
          <w:color w:val="000000"/>
          <w:sz w:val="28"/>
        </w:rPr>
        <w:t>
      5. Қорықшылық қызметті аңшылық және балық шаруашылығы субъектілері өз қаражаты есебінен құрады.</w:t>
      </w:r>
    </w:p>
    <w:bookmarkEnd w:id="12"/>
    <w:bookmarkStart w:name="z15" w:id="13"/>
    <w:p>
      <w:pPr>
        <w:spacing w:after="0"/>
        <w:ind w:left="0"/>
        <w:jc w:val="both"/>
      </w:pPr>
      <w:r>
        <w:rPr>
          <w:rFonts w:ascii="Times New Roman"/>
          <w:b w:val="false"/>
          <w:i w:val="false"/>
          <w:color w:val="000000"/>
          <w:sz w:val="28"/>
        </w:rPr>
        <w:t>
      6. Қорықшылық қызметі қызметкерлерінің жұмысы Қазақстан Республикасының жануарлар дүниесін қорғау, өсімін молайту және пайдалану саласындағы заңнамасына, осы Үлгілік ережеге негізделеді.</w:t>
      </w:r>
    </w:p>
    <w:bookmarkEnd w:id="13"/>
    <w:bookmarkStart w:name="z16" w:id="14"/>
    <w:p>
      <w:pPr>
        <w:spacing w:after="0"/>
        <w:ind w:left="0"/>
        <w:jc w:val="both"/>
      </w:pPr>
      <w:r>
        <w:rPr>
          <w:rFonts w:ascii="Times New Roman"/>
          <w:b w:val="false"/>
          <w:i w:val="false"/>
          <w:color w:val="000000"/>
          <w:sz w:val="28"/>
        </w:rPr>
        <w:t>
      7. Қорықшылық қызметі қызметкерлерiнiң лауазымдық нұсқаулықтарын аңшылық және балық шаруашылықтары субъектiсі әзiрлейдi және бекiтедi.</w:t>
      </w:r>
    </w:p>
    <w:bookmarkEnd w:id="14"/>
    <w:bookmarkStart w:name="z17" w:id="15"/>
    <w:p>
      <w:pPr>
        <w:spacing w:after="0"/>
        <w:ind w:left="0"/>
        <w:jc w:val="both"/>
      </w:pPr>
      <w:r>
        <w:rPr>
          <w:rFonts w:ascii="Times New Roman"/>
          <w:b w:val="false"/>
          <w:i w:val="false"/>
          <w:color w:val="000000"/>
          <w:sz w:val="28"/>
        </w:rPr>
        <w:t>
      8. Аңшылық және балық шаруашылығының қорықшылық қызметіне он сегіз жасқа толған тұлғалар қабылданады.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Аңшылық және (немесе) балық шаруашылықтарының субъектілері қорықшылық қызмет құрылғаннан немесе оның құрамы өзгергеннен кейін күнтізбелік он күн ішінде жануарлар дүниесін қорғау, өсімін молайту және пайдалану саласындағы уәкілетті орган ведомствосының аумақтық бөлімшесіне тиісті ақпаратты (тегі, аты, әкесінің аты (бар болса), лауазымы, қызметтік куәлігінің және омырауға тағатын белгісінің нөмірі көрсетілген қызметкерлердің тізімі)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м.а. 18.01.2022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Қорықшылық қызметі қызметкерлерінің өкілеттігi және</w:t>
      </w:r>
      <w:r>
        <w:br/>
      </w:r>
      <w:r>
        <w:rPr>
          <w:rFonts w:ascii="Times New Roman"/>
          <w:b/>
          <w:i w:val="false"/>
          <w:color w:val="000000"/>
        </w:rPr>
        <w:t>оның қызметінде пайдаланылатын құжаттары</w:t>
      </w:r>
    </w:p>
    <w:bookmarkEnd w:id="17"/>
    <w:bookmarkStart w:name="z20" w:id="18"/>
    <w:p>
      <w:pPr>
        <w:spacing w:after="0"/>
        <w:ind w:left="0"/>
        <w:jc w:val="both"/>
      </w:pPr>
      <w:r>
        <w:rPr>
          <w:rFonts w:ascii="Times New Roman"/>
          <w:b w:val="false"/>
          <w:i w:val="false"/>
          <w:color w:val="000000"/>
          <w:sz w:val="28"/>
        </w:rPr>
        <w:t>
      10. Қорықшының құқықтары мен міндеттері:</w:t>
      </w:r>
    </w:p>
    <w:bookmarkEnd w:id="18"/>
    <w:bookmarkStart w:name="z48" w:id="19"/>
    <w:p>
      <w:pPr>
        <w:spacing w:after="0"/>
        <w:ind w:left="0"/>
        <w:jc w:val="both"/>
      </w:pPr>
      <w:r>
        <w:rPr>
          <w:rFonts w:ascii="Times New Roman"/>
          <w:b w:val="false"/>
          <w:i w:val="false"/>
          <w:color w:val="000000"/>
          <w:sz w:val="28"/>
        </w:rPr>
        <w:t>
      Қорықшының:</w:t>
      </w:r>
    </w:p>
    <w:bookmarkEnd w:id="19"/>
    <w:bookmarkStart w:name="z49" w:id="20"/>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20"/>
    <w:bookmarkStart w:name="z50" w:id="21"/>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21"/>
    <w:bookmarkStart w:name="z51" w:id="22"/>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22"/>
    <w:bookmarkStart w:name="z52" w:id="23"/>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23"/>
    <w:bookmarkStart w:name="z53" w:id="24"/>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беру үшін алып қоюға;</w:t>
      </w:r>
    </w:p>
    <w:bookmarkEnd w:id="24"/>
    <w:bookmarkStart w:name="z54" w:id="25"/>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End w:id="25"/>
    <w:bookmarkStart w:name="z55" w:id="26"/>
    <w:p>
      <w:pPr>
        <w:spacing w:after="0"/>
        <w:ind w:left="0"/>
        <w:jc w:val="both"/>
      </w:pPr>
      <w:r>
        <w:rPr>
          <w:rFonts w:ascii="Times New Roman"/>
          <w:b w:val="false"/>
          <w:i w:val="false"/>
          <w:color w:val="000000"/>
          <w:sz w:val="28"/>
        </w:rPr>
        <w:t>
      Қорықшы:</w:t>
      </w:r>
    </w:p>
    <w:bookmarkEnd w:id="26"/>
    <w:bookmarkStart w:name="z56" w:id="27"/>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27"/>
    <w:bookmarkStart w:name="z57" w:id="28"/>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жануарлар дүниесін пайдалануға қойылған шектеулер мен тыйым салуларды бұзушылықтардың жолын кесуге;</w:t>
      </w:r>
    </w:p>
    <w:bookmarkEnd w:id="28"/>
    <w:bookmarkStart w:name="z58" w:id="29"/>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29"/>
    <w:bookmarkStart w:name="z59" w:id="30"/>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30"/>
    <w:bookmarkStart w:name="z60" w:id="31"/>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31"/>
    <w:bookmarkStart w:name="z61" w:id="32"/>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32"/>
    <w:bookmarkStart w:name="z62" w:id="33"/>
    <w:p>
      <w:pPr>
        <w:spacing w:after="0"/>
        <w:ind w:left="0"/>
        <w:jc w:val="both"/>
      </w:pPr>
      <w:r>
        <w:rPr>
          <w:rFonts w:ascii="Times New Roman"/>
          <w:b w:val="false"/>
          <w:i w:val="false"/>
          <w:color w:val="000000"/>
          <w:sz w:val="28"/>
        </w:rPr>
        <w:t>
      7) аншлагтардың сақталуын қамтамасыз етуге міндетті.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м.а. 18.01.2022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11. Қорықшылық қызметінің жұмысында мынадай құжаттар пайдаланылады:</w:t>
      </w:r>
    </w:p>
    <w:bookmarkEnd w:id="34"/>
    <w:bookmarkStart w:name="z34" w:id="35"/>
    <w:p>
      <w:pPr>
        <w:spacing w:after="0"/>
        <w:ind w:left="0"/>
        <w:jc w:val="both"/>
      </w:pPr>
      <w:r>
        <w:rPr>
          <w:rFonts w:ascii="Times New Roman"/>
          <w:b w:val="false"/>
          <w:i w:val="false"/>
          <w:color w:val="000000"/>
          <w:sz w:val="28"/>
        </w:rPr>
        <w:t>
      1) директор:</w:t>
      </w:r>
    </w:p>
    <w:bookmarkEnd w:id="35"/>
    <w:p>
      <w:pPr>
        <w:spacing w:after="0"/>
        <w:ind w:left="0"/>
        <w:jc w:val="both"/>
      </w:pPr>
      <w:r>
        <w:rPr>
          <w:rFonts w:ascii="Times New Roman"/>
          <w:b w:val="false"/>
          <w:i w:val="false"/>
          <w:color w:val="000000"/>
          <w:sz w:val="28"/>
        </w:rPr>
        <w:t>
      облыстың жергілікті атқарушы органының аңшылық алқапты немесе балық шаруашылығының су айдындарын және (немесе) учаскелерін бекітіп беру туралы шешімінің көшірмесі;</w:t>
      </w:r>
    </w:p>
    <w:p>
      <w:pPr>
        <w:spacing w:after="0"/>
        <w:ind w:left="0"/>
        <w:jc w:val="both"/>
      </w:pPr>
      <w:r>
        <w:rPr>
          <w:rFonts w:ascii="Times New Roman"/>
          <w:b w:val="false"/>
          <w:i w:val="false"/>
          <w:color w:val="000000"/>
          <w:sz w:val="28"/>
        </w:rPr>
        <w:t>
      аңшылық және (немесе) балық шаруашылықтарын жүргізуге арналған шарт;</w:t>
      </w:r>
    </w:p>
    <w:p>
      <w:pPr>
        <w:spacing w:after="0"/>
        <w:ind w:left="0"/>
        <w:jc w:val="both"/>
      </w:pPr>
      <w:r>
        <w:rPr>
          <w:rFonts w:ascii="Times New Roman"/>
          <w:b w:val="false"/>
          <w:i w:val="false"/>
          <w:color w:val="000000"/>
          <w:sz w:val="28"/>
        </w:rPr>
        <w:t>
      шаруашылықішілік аңшылық ісін ұйымдастырудың материалдары (аңшылық шаруашылығының субъектілері үшін);</w:t>
      </w:r>
    </w:p>
    <w:p>
      <w:pPr>
        <w:spacing w:after="0"/>
        <w:ind w:left="0"/>
        <w:jc w:val="both"/>
      </w:pPr>
      <w:r>
        <w:rPr>
          <w:rFonts w:ascii="Times New Roman"/>
          <w:b w:val="false"/>
          <w:i w:val="false"/>
          <w:color w:val="000000"/>
          <w:sz w:val="28"/>
        </w:rPr>
        <w:t xml:space="preserve">
      "Жолдаманың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10702 болып тіркелген) нысан бойынша аңшылық және балық шаруашылығы субъектiлерi берген жолдамаларды тiркеу журналы;</w:t>
      </w:r>
    </w:p>
    <w:p>
      <w:pPr>
        <w:spacing w:after="0"/>
        <w:ind w:left="0"/>
        <w:jc w:val="both"/>
      </w:pPr>
      <w:r>
        <w:rPr>
          <w:rFonts w:ascii="Times New Roman"/>
          <w:b w:val="false"/>
          <w:i w:val="false"/>
          <w:color w:val="000000"/>
          <w:sz w:val="28"/>
        </w:rPr>
        <w:t>
      аңшылық алқабының карта-схемасы;</w:t>
      </w:r>
    </w:p>
    <w:p>
      <w:pPr>
        <w:spacing w:after="0"/>
        <w:ind w:left="0"/>
        <w:jc w:val="both"/>
      </w:pPr>
      <w:r>
        <w:rPr>
          <w:rFonts w:ascii="Times New Roman"/>
          <w:b w:val="false"/>
          <w:i w:val="false"/>
          <w:color w:val="000000"/>
          <w:sz w:val="28"/>
        </w:rPr>
        <w:t>
      аңшылық шаруашылығын жүргізу жоспары;</w:t>
      </w:r>
    </w:p>
    <w:p>
      <w:pPr>
        <w:spacing w:after="0"/>
        <w:ind w:left="0"/>
        <w:jc w:val="both"/>
      </w:pPr>
      <w:r>
        <w:rPr>
          <w:rFonts w:ascii="Times New Roman"/>
          <w:b w:val="false"/>
          <w:i w:val="false"/>
          <w:color w:val="000000"/>
          <w:sz w:val="28"/>
        </w:rPr>
        <w:t>
      жануарларды есепке алу материалдары;</w:t>
      </w:r>
    </w:p>
    <w:p>
      <w:pPr>
        <w:spacing w:after="0"/>
        <w:ind w:left="0"/>
        <w:jc w:val="both"/>
      </w:pPr>
      <w:r>
        <w:rPr>
          <w:rFonts w:ascii="Times New Roman"/>
          <w:b w:val="false"/>
          <w:i w:val="false"/>
          <w:color w:val="000000"/>
          <w:sz w:val="28"/>
        </w:rPr>
        <w:t xml:space="preserve">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7573 болып тіркелген) нысан бойынша балық ресурстары мен басқа да су жануарларын аулауды есепке алу журналы (кәсіпшілік журнал);</w:t>
      </w:r>
    </w:p>
    <w:bookmarkStart w:name="z44" w:id="36"/>
    <w:p>
      <w:pPr>
        <w:spacing w:after="0"/>
        <w:ind w:left="0"/>
        <w:jc w:val="both"/>
      </w:pPr>
      <w:r>
        <w:rPr>
          <w:rFonts w:ascii="Times New Roman"/>
          <w:b w:val="false"/>
          <w:i w:val="false"/>
          <w:color w:val="000000"/>
          <w:sz w:val="28"/>
        </w:rPr>
        <w:t>
      2) аға қорықшы (болған жағдайда), қорықшы:</w:t>
      </w:r>
    </w:p>
    <w:bookmarkEnd w:id="36"/>
    <w:bookmarkStart w:name="z45" w:id="37"/>
    <w:p>
      <w:pPr>
        <w:spacing w:after="0"/>
        <w:ind w:left="0"/>
        <w:jc w:val="both"/>
      </w:pPr>
      <w:r>
        <w:rPr>
          <w:rFonts w:ascii="Times New Roman"/>
          <w:b w:val="false"/>
          <w:i w:val="false"/>
          <w:color w:val="000000"/>
          <w:sz w:val="28"/>
        </w:rPr>
        <w:t>
      аңшылық және (немесе) балық шаруашылықтары субъектілері, олардың бірлестіктері (аңшылар мен балықшылар бірлестіктерін қоса алғанда) берген қызметтік куәлік;</w:t>
      </w:r>
    </w:p>
    <w:bookmarkEnd w:id="37"/>
    <w:bookmarkStart w:name="z46" w:id="38"/>
    <w:p>
      <w:pPr>
        <w:spacing w:after="0"/>
        <w:ind w:left="0"/>
        <w:jc w:val="both"/>
      </w:pPr>
      <w:r>
        <w:rPr>
          <w:rFonts w:ascii="Times New Roman"/>
          <w:b w:val="false"/>
          <w:i w:val="false"/>
          <w:color w:val="000000"/>
          <w:sz w:val="28"/>
        </w:rPr>
        <w:t>
      қорықшыға қорық учаскесін (айналымды) бекітіп беру туралы аңшылық және (немесе) балық шаруашылықтары субъектілері бұйрығының көшірмесі және оның карта-схемасы;</w:t>
      </w:r>
    </w:p>
    <w:bookmarkEnd w:id="38"/>
    <w:bookmarkStart w:name="z47" w:id="39"/>
    <w:p>
      <w:pPr>
        <w:spacing w:after="0"/>
        <w:ind w:left="0"/>
        <w:jc w:val="both"/>
      </w:pPr>
      <w:r>
        <w:rPr>
          <w:rFonts w:ascii="Times New Roman"/>
          <w:b w:val="false"/>
          <w:i w:val="false"/>
          <w:color w:val="000000"/>
          <w:sz w:val="28"/>
        </w:rPr>
        <w:t>
      қызметтік қаруды алып жүруге және сақтауға рұқсат.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Экология, геология және табиғи ресурстар министрінің м.а. 20.09.2022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