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d5ff5" w14:textId="8dd5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м.а. 2015 жылғы 26 маусымдағы № 388 бұйрығы. Қазақстан Республикасының Әділет министрлігінде 2015 жылы 4 тамызда № 11832 болып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610 тармағы</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w:t>
      </w:r>
      <w:r>
        <w:rPr>
          <w:rFonts w:ascii="Times New Roman"/>
          <w:b w:val="false"/>
          <w:i w:val="false"/>
          <w:color w:val="000000"/>
          <w:sz w:val="28"/>
        </w:rPr>
        <w:t>
      «610. Жергілікті атқарушы органдарға, қаржы агенттіктеріне бюджеттік кредиттер бойынша, сондай-ақ қарыз алушылар ретінде жергілікті атқарушы органдар түпкілікті қарыз алушыларға мемлекеттің әлеуметтік саясатының міндеттерін шешуге беретін бюджеттік кредиттер бойынша сыйақы мөлшерлемелерін қоспағанда, бюджеттік кредиттер бойынша сыйақы мөлшерлемесі айналыс мерзімі бюджеттік кредиттің мерзіміне сәйкес келетін мемлекеттік бағалы қағаздар бойынша кірістіліктің орташа өлшемді мөлшерлемесінен төмен болмайтын шамада белгіленеді.</w:t>
      </w:r>
      <w:r>
        <w:br/>
      </w:r>
      <w:r>
        <w:rPr>
          <w:rFonts w:ascii="Times New Roman"/>
          <w:b w:val="false"/>
          <w:i w:val="false"/>
          <w:color w:val="000000"/>
          <w:sz w:val="28"/>
        </w:rPr>
        <w:t>
</w:t>
      </w:r>
      <w:r>
        <w:rPr>
          <w:rFonts w:ascii="Times New Roman"/>
          <w:b w:val="false"/>
          <w:i w:val="false"/>
          <w:color w:val="000000"/>
          <w:sz w:val="28"/>
        </w:rPr>
        <w:t>
      Мемлекеттік эмиссиялық бағалы қағаздар бойынша кірістің орта мөлшерлік ставкасын анықтау тәртібі осы Ережеге сәйкес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612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«612. Қарыз алушы банк және/немесе жергілікті атқарушы органдармен белгілеген түпкі қарыз алушыға арналған сыйақы ставкасының мөлшері агроөнеркәсіптік кешен субъектілеріне берілетін кредиттер бойынша сыйақы ставкасын қоспағанда, осы Ереженің 610 тармағына сәйкес белгіленген 2 еселенген сыйақы ставкасынан аспауы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646 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«646. Бюджеттік бағдарламалар әкімшілері мамандандырылған ұйымдар мен сенім білдірілген өкілдер (агенттер), бюджеттік кредит беру шартына сәйкес іріктеуде артықшылығы жүзеге асырылатын қаржы агенттігін және тұрғын үй-коммуналдық шаруашылықты жаңғырту және дамыту жөніндегі ұйымды қоспағанда, конкурстық негізде қарыз алушыны анықтайды.».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xml:space="preserve">
      2) осы бұйрықты Қазақстан Республикасы Қаржы министрлігінің интернет-ресурсында орналастыруды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Қаржы министрінің міндетін атқарушы        Р. Дәленов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30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Банкі төрағасы</w:t>
      </w:r>
      <w:r>
        <w:br/>
      </w:r>
      <w:r>
        <w:rPr>
          <w:rFonts w:ascii="Times New Roman"/>
          <w:b w:val="false"/>
          <w:i w:val="false"/>
          <w:color w:val="000000"/>
          <w:sz w:val="28"/>
        </w:rPr>
        <w:t>
</w:t>
      </w:r>
      <w:r>
        <w:rPr>
          <w:rFonts w:ascii="Times New Roman"/>
          <w:b w:val="false"/>
          <w:i/>
          <w:color w:val="000000"/>
          <w:sz w:val="28"/>
        </w:rPr>
        <w:t>      _____________ Қ. Келімбетов</w:t>
      </w:r>
      <w:r>
        <w:br/>
      </w:r>
      <w:r>
        <w:rPr>
          <w:rFonts w:ascii="Times New Roman"/>
          <w:b w:val="false"/>
          <w:i w:val="false"/>
          <w:color w:val="000000"/>
          <w:sz w:val="28"/>
        </w:rPr>
        <w:t>
</w:t>
      </w:r>
      <w:r>
        <w:rPr>
          <w:rFonts w:ascii="Times New Roman"/>
          <w:b w:val="false"/>
          <w:i/>
          <w:color w:val="000000"/>
          <w:sz w:val="28"/>
        </w:rPr>
        <w:t>      2015 жылғы 2 шілде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