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7c41e" w14:textId="d87c4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қаржы жылына арналған инвестициялық субсидияның шекті мөлшерін белгілеу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19 қаңтардағы № 14 және Қазақстан Республикасы Қаржы министрінің 2015 жылғы 2 наурыздағы № 146, Қазақстан Республикасы Ұлттық экономика министрінің 2015 жылғы 21 шілдедегі № 556 бірлескен бұйрығы. Қазақстан Республикасының Әділет министрлігінде 2015 жылы 21 тамызда № 11931 болып тіркелді</w:t>
      </w:r>
    </w:p>
    <w:p>
      <w:pPr>
        <w:spacing w:after="0"/>
        <w:ind w:left="0"/>
        <w:jc w:val="both"/>
      </w:pPr>
      <w:bookmarkStart w:name="z1" w:id="0"/>
      <w:r>
        <w:rPr>
          <w:rFonts w:ascii="Times New Roman"/>
          <w:b w:val="false"/>
          <w:i w:val="false"/>
          <w:color w:val="000000"/>
          <w:sz w:val="28"/>
        </w:rPr>
        <w:t>  
      «Инвестициялық субсидия беру қағидаларын бекіту туралы» Қазақстан Республикасы Үкіметінің 2014 жылғы 04 қарашадағы № 1175 қаулысымен бекітілген Инвестициялық субсидия беру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2015 қаржы жылына арналған инвестициялық субсидия берудің шекті мөлшері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Инвестициялар комитеті (Е.Қ. Хаиров):</w:t>
      </w:r>
      <w:r>
        <w:br/>
      </w:r>
      <w:r>
        <w:rPr>
          <w:rFonts w:ascii="Times New Roman"/>
          <w:b w:val="false"/>
          <w:i w:val="false"/>
          <w:color w:val="000000"/>
          <w:sz w:val="28"/>
        </w:rPr>
        <w:t>
</w:t>
      </w:r>
      <w:r>
        <w:rPr>
          <w:rFonts w:ascii="Times New Roman"/>
          <w:b w:val="false"/>
          <w:i w:val="false"/>
          <w:color w:val="000000"/>
          <w:sz w:val="28"/>
        </w:rPr>
        <w:t>
      1) заңнамада белгіленген тәртіппен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бұқаралық ақпарат құралдарына және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«Әділет» ақпараттық-құқықтық жүйесіне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Инвестициялар және даму вице-министрі Е.К. Сағадиевке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     Қаржы министрі</w:t>
      </w:r>
      <w:r>
        <w:br/>
      </w:r>
      <w:r>
        <w:rPr>
          <w:rFonts w:ascii="Times New Roman"/>
          <w:b w:val="false"/>
          <w:i w:val="false"/>
          <w:color w:val="000000"/>
          <w:sz w:val="28"/>
        </w:rPr>
        <w:t>
</w:t>
      </w:r>
      <w:r>
        <w:rPr>
          <w:rFonts w:ascii="Times New Roman"/>
          <w:b w:val="false"/>
          <w:i/>
          <w:color w:val="000000"/>
          <w:sz w:val="28"/>
        </w:rPr>
        <w:t>      _____________ Ә. Исекешев            ___________ Б. Сұлтанов</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xml:space="preserve">      ______________ Е. Досаев </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2015 жылғы 19 қаңтардағы № 14,</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 наурыздағы № 146,</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экономика министрінің </w:t>
      </w:r>
      <w:r>
        <w:br/>
      </w:r>
      <w:r>
        <w:rPr>
          <w:rFonts w:ascii="Times New Roman"/>
          <w:b w:val="false"/>
          <w:i w:val="false"/>
          <w:color w:val="000000"/>
          <w:sz w:val="28"/>
        </w:rPr>
        <w:t xml:space="preserve">
2015 жылғы 21 шілдедегі № 556 </w:t>
      </w:r>
      <w:r>
        <w:br/>
      </w:r>
      <w:r>
        <w:rPr>
          <w:rFonts w:ascii="Times New Roman"/>
          <w:b w:val="false"/>
          <w:i w:val="false"/>
          <w:color w:val="000000"/>
          <w:sz w:val="28"/>
        </w:rPr>
        <w:t xml:space="preserve">
бірлескен бұйрығына қосымша  </w:t>
      </w:r>
    </w:p>
    <w:bookmarkEnd w:id="1"/>
    <w:bookmarkStart w:name="z11" w:id="2"/>
    <w:p>
      <w:pPr>
        <w:spacing w:after="0"/>
        <w:ind w:left="0"/>
        <w:jc w:val="left"/>
      </w:pPr>
      <w:r>
        <w:rPr>
          <w:rFonts w:ascii="Times New Roman"/>
          <w:b/>
          <w:i w:val="false"/>
          <w:color w:val="000000"/>
        </w:rPr>
        <w:t xml:space="preserve"> 
2015 қаржы жылына арналған инвестициялық субсидия берудің шекті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1"/>
        <w:gridCol w:w="9239"/>
      </w:tblGrid>
      <w:tr>
        <w:trPr>
          <w:trHeight w:val="60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Құрылыс-монтаждау жұмыстарына және жабдық сатып алуға арналған іс жүзіндегі шығындардың сомасы, миллион айлық есептік көрсеткіш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субсидия берудің шекті мөлшері</w:t>
            </w:r>
          </w:p>
        </w:tc>
      </w:tr>
      <w:tr>
        <w:trPr>
          <w:trHeight w:val="30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5-ке дейін</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0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5-тен 10-ға дейін</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5 миллион айлық есептік көрсеткіштер - 30 % </w:t>
            </w:r>
            <w:r>
              <w:br/>
            </w:r>
            <w:r>
              <w:rPr>
                <w:rFonts w:ascii="Times New Roman"/>
                <w:b w:val="false"/>
                <w:i w:val="false"/>
                <w:color w:val="000000"/>
                <w:sz w:val="20"/>
              </w:rPr>
              <w:t>
5 миллионнан 10 миллион диапазонға дейін және оны қоса алғанда айлық есептік көрсеткіштердің кейінгі сомасы - 25 %</w:t>
            </w:r>
          </w:p>
        </w:tc>
      </w:tr>
      <w:tr>
        <w:trPr>
          <w:trHeight w:val="90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10-нан 15-ға дейін</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5 миллион айлық есептік көрсеткіштер - 30 % </w:t>
            </w:r>
            <w:r>
              <w:br/>
            </w:r>
            <w:r>
              <w:rPr>
                <w:rFonts w:ascii="Times New Roman"/>
                <w:b w:val="false"/>
                <w:i w:val="false"/>
                <w:color w:val="000000"/>
                <w:sz w:val="20"/>
              </w:rPr>
              <w:t>
5 миллионнан 10 миллион диапазонға дейін және оны қоса алғанда айлық есептік көрсеткіштердің кейінгі сомасы - 25 %</w:t>
            </w:r>
            <w:r>
              <w:br/>
            </w:r>
            <w:r>
              <w:rPr>
                <w:rFonts w:ascii="Times New Roman"/>
                <w:b w:val="false"/>
                <w:i w:val="false"/>
                <w:color w:val="000000"/>
                <w:sz w:val="20"/>
              </w:rPr>
              <w:t>
10 миллионнан 15 миллион диапазонға және оны қоса алғанда айлық есептік көрсеткіштердің кейінгі сомасы - 20%</w:t>
            </w:r>
          </w:p>
        </w:tc>
      </w:tr>
      <w:tr>
        <w:trPr>
          <w:trHeight w:val="405"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15-дан – 20-ға дейін</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5 миллион айлық есептік көрсеткіштер - 30 % </w:t>
            </w:r>
            <w:r>
              <w:br/>
            </w:r>
            <w:r>
              <w:rPr>
                <w:rFonts w:ascii="Times New Roman"/>
                <w:b w:val="false"/>
                <w:i w:val="false"/>
                <w:color w:val="000000"/>
                <w:sz w:val="20"/>
              </w:rPr>
              <w:t>
5 миллионнан 10 миллион диапазонға дейін және оны қоса алғанда айлық есептік көрсеткіштердің кейінгі сомасы - 25 %</w:t>
            </w:r>
            <w:r>
              <w:br/>
            </w:r>
            <w:r>
              <w:rPr>
                <w:rFonts w:ascii="Times New Roman"/>
                <w:b w:val="false"/>
                <w:i w:val="false"/>
                <w:color w:val="000000"/>
                <w:sz w:val="20"/>
              </w:rPr>
              <w:t>
10 миллионнан 15 миллион диапазонға және оны қоса алғанда айлық есептік көрсеткіштердің кейінгі сомасы - 20%</w:t>
            </w:r>
            <w:r>
              <w:br/>
            </w:r>
            <w:r>
              <w:rPr>
                <w:rFonts w:ascii="Times New Roman"/>
                <w:b w:val="false"/>
                <w:i w:val="false"/>
                <w:color w:val="000000"/>
                <w:sz w:val="20"/>
              </w:rPr>
              <w:t>
15 миллионан 20 миллион диапазонға және оны қоса алғанда айлық есептік көрсеткіштердің кейінгі сомасы - 15%</w:t>
            </w:r>
          </w:p>
        </w:tc>
      </w:tr>
      <w:tr>
        <w:trPr>
          <w:trHeight w:val="150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20-дан 25-ке дейін</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5 миллион айлық есептік көрсеткіштер - 30 % </w:t>
            </w:r>
            <w:r>
              <w:br/>
            </w:r>
            <w:r>
              <w:rPr>
                <w:rFonts w:ascii="Times New Roman"/>
                <w:b w:val="false"/>
                <w:i w:val="false"/>
                <w:color w:val="000000"/>
                <w:sz w:val="20"/>
              </w:rPr>
              <w:t>
5 миллионнан 10 миллион диапазонға дейін және оны қоса алғанда айлық есептік көрсеткіштердің кейінгі сомасы - 25 %</w:t>
            </w:r>
            <w:r>
              <w:br/>
            </w:r>
            <w:r>
              <w:rPr>
                <w:rFonts w:ascii="Times New Roman"/>
                <w:b w:val="false"/>
                <w:i w:val="false"/>
                <w:color w:val="000000"/>
                <w:sz w:val="20"/>
              </w:rPr>
              <w:t>
10 миллионнан 15 миллион диапазонға және оны қоса алғанда айлық есептік көрсеткіштердің кейінгі сомасы - 20%</w:t>
            </w:r>
            <w:r>
              <w:br/>
            </w:r>
            <w:r>
              <w:rPr>
                <w:rFonts w:ascii="Times New Roman"/>
                <w:b w:val="false"/>
                <w:i w:val="false"/>
                <w:color w:val="000000"/>
                <w:sz w:val="20"/>
              </w:rPr>
              <w:t>
15 миллионан 20 миллион диапазонға және оны қоса алғанда айлық есептік көрсеткіштердің кейінгі сомасы - 15%</w:t>
            </w:r>
            <w:r>
              <w:br/>
            </w:r>
            <w:r>
              <w:rPr>
                <w:rFonts w:ascii="Times New Roman"/>
                <w:b w:val="false"/>
                <w:i w:val="false"/>
                <w:color w:val="000000"/>
                <w:sz w:val="20"/>
              </w:rPr>
              <w:t>
20 миллионан 25 миллион диапазонға және оны қоса алғанда айлық есептік көрсеткіштердің кейінгі сомасы - 10%</w:t>
            </w:r>
          </w:p>
        </w:tc>
      </w:tr>
      <w:tr>
        <w:trPr>
          <w:trHeight w:val="2400" w:hRule="atLeast"/>
        </w:trPr>
        <w:tc>
          <w:tcPr>
            <w:tcW w:w="4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25-тен және жоғары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5 миллион айлық есептік көрсеткіштер - 30 % </w:t>
            </w:r>
            <w:r>
              <w:br/>
            </w:r>
            <w:r>
              <w:rPr>
                <w:rFonts w:ascii="Times New Roman"/>
                <w:b w:val="false"/>
                <w:i w:val="false"/>
                <w:color w:val="000000"/>
                <w:sz w:val="20"/>
              </w:rPr>
              <w:t>
5 миллионнан 10 миллион диапазонға дейін және оны қоса алғанда айлық есептік көрсеткіштердің кейінгі сомасы - 25 %</w:t>
            </w:r>
            <w:r>
              <w:br/>
            </w:r>
            <w:r>
              <w:rPr>
                <w:rFonts w:ascii="Times New Roman"/>
                <w:b w:val="false"/>
                <w:i w:val="false"/>
                <w:color w:val="000000"/>
                <w:sz w:val="20"/>
              </w:rPr>
              <w:t>
10 миллионнан 15 миллион диапазонға және оны қоса алғанда айлық есептік көрсеткіштердің кейінгі сомасы - 20%</w:t>
            </w:r>
            <w:r>
              <w:br/>
            </w:r>
            <w:r>
              <w:rPr>
                <w:rFonts w:ascii="Times New Roman"/>
                <w:b w:val="false"/>
                <w:i w:val="false"/>
                <w:color w:val="000000"/>
                <w:sz w:val="20"/>
              </w:rPr>
              <w:t>
15 миллионан 20 миллион диапазонға және оны қоса алғанда айлық есептік көрсеткіштердің кейінгі сомасы - 15%</w:t>
            </w:r>
            <w:r>
              <w:br/>
            </w:r>
            <w:r>
              <w:rPr>
                <w:rFonts w:ascii="Times New Roman"/>
                <w:b w:val="false"/>
                <w:i w:val="false"/>
                <w:color w:val="000000"/>
                <w:sz w:val="20"/>
              </w:rPr>
              <w:t>
20 миллионан 25 миллион диапазонға және оны қоса алғанда айлық есептік көрсеткіштердің кейінгі сомасы - 10%</w:t>
            </w:r>
            <w:r>
              <w:br/>
            </w:r>
            <w:r>
              <w:rPr>
                <w:rFonts w:ascii="Times New Roman"/>
                <w:b w:val="false"/>
                <w:i w:val="false"/>
                <w:color w:val="000000"/>
                <w:sz w:val="20"/>
              </w:rPr>
              <w:t>
20 миллионан 25 миллион диапазонға және оны қоса алғанда айлық есептік көрсеткіштердің кейінгі сомасы - 10%</w:t>
            </w:r>
            <w:r>
              <w:br/>
            </w:r>
            <w:r>
              <w:rPr>
                <w:rFonts w:ascii="Times New Roman"/>
                <w:b w:val="false"/>
                <w:i w:val="false"/>
                <w:color w:val="000000"/>
                <w:sz w:val="20"/>
              </w:rPr>
              <w:t>
25 миллион айлық есептік көрсеткіштерден астам іс жүзіндегі шығындар үшін – 5 %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