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e9b4" w14:textId="940e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2015 жылғы 20 қазандағы № 197 қаулысы. Қазақстан Республикасының Әділет министрлігінде 2015 жылы 7 желтоқсанда № 12364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Ұлттық Банкі Басқармасының 29.10.2018 </w:t>
      </w:r>
      <w:r>
        <w:rPr>
          <w:rFonts w:ascii="Times New Roman"/>
          <w:b w:val="false"/>
          <w:i w:val="false"/>
          <w:color w:val="000000"/>
          <w:sz w:val="28"/>
        </w:rPr>
        <w:t>№ 269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33" w:id="1"/>
    <w:p>
      <w:pPr>
        <w:spacing w:after="0"/>
        <w:ind w:left="0"/>
        <w:jc w:val="both"/>
      </w:pPr>
      <w:r>
        <w:rPr>
          <w:rFonts w:ascii="Times New Roman"/>
          <w:b w:val="false"/>
          <w:i w:val="false"/>
          <w:color w:val="000000"/>
          <w:sz w:val="28"/>
        </w:rPr>
        <w:t xml:space="preserve">
      2. "Сақтандыру төлемдеріне кепілдік беру қорының қатысушылары - сақтандыру ұйымдарының міндетті, қосымша жарналар мен шартты міндеттемелердің мөлшерлемесін есептеу әдістемесін, міндетті, қосымша және төтенше жарналарды төлеу тәртібі мен мерзімдерін, шартты міндеттемелерді қалыптастыру мен есепке алу тәртібін бекіту туралы" Қазақстан Республикасының Ұлттық Банкі Басқармасының 2012 жылғы 24 желтоқсандағы № 387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актiлерді мемлекеттiк тiркеу тiзiлiмiнде № 8329 тiркелген, 2013 жылғы 5 маусымда "Егемен Қазақстан" газетінде № 141 (28080) жарияланған) мынадай өзгерістер енгізілсін: </w:t>
      </w:r>
    </w:p>
    <w:bookmarkEnd w:id="1"/>
    <w:bookmarkStart w:name="z34" w:id="2"/>
    <w:p>
      <w:pPr>
        <w:spacing w:after="0"/>
        <w:ind w:left="0"/>
        <w:jc w:val="both"/>
      </w:pPr>
      <w:r>
        <w:rPr>
          <w:rFonts w:ascii="Times New Roman"/>
          <w:b w:val="false"/>
          <w:i w:val="false"/>
          <w:color w:val="000000"/>
          <w:sz w:val="28"/>
        </w:rPr>
        <w:t xml:space="preserve">
      көрсетілген қаулымен бекітілген Сақтандыру төлемдеріне кепілдік беру қорының қатысушылары – сақтандыру ұйымдарының міндетті, қосымша жарналар мен шартты міндеттемелердің мөлшерлемесін есептеу әдістемесінде, міндетті, қосымша және төтенше жарналарды төлеу тәртібі мен мерзімдерінде, шартты міндеттемелерді қалыптастыру мен есепке алу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Міндетті жарналар мөлшерлемесін Сақтандыру төлемдеріне кепілдік беру қорының (бұдан әрі – Қор) директорлар кеңесі бекітеді. </w:t>
      </w:r>
    </w:p>
    <w:bookmarkStart w:name="z36" w:id="3"/>
    <w:p>
      <w:pPr>
        <w:spacing w:after="0"/>
        <w:ind w:left="0"/>
        <w:jc w:val="both"/>
      </w:pPr>
      <w:r>
        <w:rPr>
          <w:rFonts w:ascii="Times New Roman"/>
          <w:b w:val="false"/>
          <w:i w:val="false"/>
          <w:color w:val="000000"/>
          <w:sz w:val="28"/>
        </w:rPr>
        <w:t>
      2. Ағымдағы қаржы жылына міндетті жарнаның негізгі мөлшерлемесін есептеу формуласын Қордың директорлар кеңесі бекітеді және ол әрбір 3 (үш) жылда қайта қаралуға жатады.</w:t>
      </w:r>
    </w:p>
    <w:bookmarkEnd w:id="3"/>
    <w:p>
      <w:pPr>
        <w:spacing w:after="0"/>
        <w:ind w:left="0"/>
        <w:jc w:val="both"/>
      </w:pPr>
      <w:r>
        <w:rPr>
          <w:rFonts w:ascii="Times New Roman"/>
          <w:b w:val="false"/>
          <w:i w:val="false"/>
          <w:color w:val="000000"/>
          <w:sz w:val="28"/>
        </w:rPr>
        <w:t>
      Міндетті жарнаның негізгі мөлшерлемесін есептеу кезінде қайта сақтандырушының сақтандыру резервтеріндегі үлесі ескерілмейді.</w:t>
      </w:r>
    </w:p>
    <w:bookmarkStart w:name="z37" w:id="4"/>
    <w:p>
      <w:pPr>
        <w:spacing w:after="0"/>
        <w:ind w:left="0"/>
        <w:jc w:val="both"/>
      </w:pPr>
      <w:r>
        <w:rPr>
          <w:rFonts w:ascii="Times New Roman"/>
          <w:b w:val="false"/>
          <w:i w:val="false"/>
          <w:color w:val="000000"/>
          <w:sz w:val="28"/>
        </w:rPr>
        <w:t>
      3. Әдістеменің 2-тармағына сәйкес айқындалатын міндетті жарна мөлшерлемесін Қор есептейді және ол есептелген сақтандыру сыйлықақыларының сомасынан 0,35 (нөл бүтін жүзден отыз бес) пайыздан кем және есептелген сақтандыру сыйлықақыларының сомасынан 2 (екі) пайыздан артық болмайды.";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Қор Әдістеменің </w:t>
      </w:r>
      <w:r>
        <w:rPr>
          <w:rFonts w:ascii="Times New Roman"/>
          <w:b w:val="false"/>
          <w:i w:val="false"/>
          <w:color w:val="000000"/>
          <w:sz w:val="28"/>
        </w:rPr>
        <w:t>4-тармағында</w:t>
      </w:r>
      <w:r>
        <w:rPr>
          <w:rFonts w:ascii="Times New Roman"/>
          <w:b w:val="false"/>
          <w:i w:val="false"/>
          <w:color w:val="000000"/>
          <w:sz w:val="28"/>
        </w:rPr>
        <w:t xml:space="preserve"> көзделген ақпаратты алғаннан кейін күнтізбелік 30 (отыз) күн ішінде жоғарылату коэффициентін ескере отырып, "Сақтандыру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қаржы нарығы мен қаржы ұйымдарын реттеу, бақылау және қадағалау жөніндегі уәкілетті органмен (бұдан әрі – уәкілетті орган) келісу бойынша міндетті жарналар мөлшерлемесін есептейді, бекітеді және оны қатысушы сақтандыру ұйымдарына жібереді.</w:t>
      </w:r>
    </w:p>
    <w:p>
      <w:pPr>
        <w:spacing w:after="0"/>
        <w:ind w:left="0"/>
        <w:jc w:val="both"/>
      </w:pPr>
      <w:r>
        <w:rPr>
          <w:rFonts w:ascii="Times New Roman"/>
          <w:b w:val="false"/>
          <w:i w:val="false"/>
          <w:color w:val="000000"/>
          <w:sz w:val="28"/>
        </w:rPr>
        <w:t xml:space="preserve">
      Қатысушы сақтандыру ұйымдары жасалған сақтандыру шарттарының саны, сақтандыру сыйлықақылары мен сақтандыру төлемдерінің есептелген жалпы сомасы туралы дәйексіз (толық емес) ақпаратты берген жағдайда, Қор міндетті жарналар мөлшерлемесін түзетуді жүргізеді. Бұл ретте, міндетті жарналар мөлшерлемесін азайтқан жағдайда, Қор қатысушы сақтандыру ұйымдарының артық төлеген сомаларын олардың ағымдағы қаржы жылы үшін төлейтін болашақ жарналары есебіне есептейді. Міндетті жарналар мөлшерлемесін ұлғайтқан жағдайда, қатысушы сақтандыру ұйымдары Қорға Әдістеменің </w:t>
      </w:r>
      <w:r>
        <w:rPr>
          <w:rFonts w:ascii="Times New Roman"/>
          <w:b w:val="false"/>
          <w:i w:val="false"/>
          <w:color w:val="000000"/>
          <w:sz w:val="28"/>
        </w:rPr>
        <w:t>7-тармағында</w:t>
      </w:r>
      <w:r>
        <w:rPr>
          <w:rFonts w:ascii="Times New Roman"/>
          <w:b w:val="false"/>
          <w:i w:val="false"/>
          <w:color w:val="000000"/>
          <w:sz w:val="28"/>
        </w:rPr>
        <w:t xml:space="preserve"> көзделген мерзімде қосымша сомаларды төлейді.</w:t>
      </w:r>
    </w:p>
    <w:p>
      <w:pPr>
        <w:spacing w:after="0"/>
        <w:ind w:left="0"/>
        <w:jc w:val="both"/>
      </w:pPr>
      <w:r>
        <w:rPr>
          <w:rFonts w:ascii="Times New Roman"/>
          <w:b w:val="false"/>
          <w:i w:val="false"/>
          <w:color w:val="000000"/>
          <w:sz w:val="28"/>
        </w:rPr>
        <w:t>
      Міндетті жарнаның негізгі мөлшерлемесі қатысушы сақтандыру ұйымының жиынтық (біріктірілген) балл мөлшеріне қарай тиісті жоғарылату коэффициентіне негізгі мөлшерлемені көбейту жолымен жеке ұлғайтылады. Жиынтық (біріктірілген) балл алдыңғы қаржы жылының қорытындылары бойынша қатысушы сақтандыру ұйымының қаржылық жай-күйінің көрсеткіштері бойынша айқындалады, оның ішінде мынандай көрсеткіштер ескеріледі:</w:t>
      </w:r>
    </w:p>
    <w:p>
      <w:pPr>
        <w:spacing w:after="0"/>
        <w:ind w:left="0"/>
        <w:jc w:val="both"/>
      </w:pPr>
      <w:r>
        <w:rPr>
          <w:rFonts w:ascii="Times New Roman"/>
          <w:b w:val="false"/>
          <w:i w:val="false"/>
          <w:color w:val="000000"/>
          <w:sz w:val="28"/>
        </w:rPr>
        <w:t xml:space="preserve">
      таза сақтандыру сыйлықақыларының (қайта сақтандырушының үлесін ескермегенде) меншікті капиталға қатынасы; </w:t>
      </w:r>
    </w:p>
    <w:p>
      <w:pPr>
        <w:spacing w:after="0"/>
        <w:ind w:left="0"/>
        <w:jc w:val="both"/>
      </w:pPr>
      <w:r>
        <w:rPr>
          <w:rFonts w:ascii="Times New Roman"/>
          <w:b w:val="false"/>
          <w:i w:val="false"/>
          <w:color w:val="000000"/>
          <w:sz w:val="28"/>
        </w:rPr>
        <w:t>
      сақтандыру сыйлықақыларының (қайта сақтандырушының үлесін ескергенде) меншікті капиталға қатынасы;</w:t>
      </w:r>
    </w:p>
    <w:p>
      <w:pPr>
        <w:spacing w:after="0"/>
        <w:ind w:left="0"/>
        <w:jc w:val="both"/>
      </w:pPr>
      <w:r>
        <w:rPr>
          <w:rFonts w:ascii="Times New Roman"/>
          <w:b w:val="false"/>
          <w:i w:val="false"/>
          <w:color w:val="000000"/>
          <w:sz w:val="28"/>
        </w:rPr>
        <w:t>
      сақтандырудың кепілдік берілген түрінің сақтандыру ұйымының жиынтық сақтандыру портфеліндегі және жалпы нарықтағы үлесі;</w:t>
      </w:r>
    </w:p>
    <w:p>
      <w:pPr>
        <w:spacing w:after="0"/>
        <w:ind w:left="0"/>
        <w:jc w:val="both"/>
      </w:pPr>
      <w:r>
        <w:rPr>
          <w:rFonts w:ascii="Times New Roman"/>
          <w:b w:val="false"/>
          <w:i w:val="false"/>
          <w:color w:val="000000"/>
          <w:sz w:val="28"/>
        </w:rPr>
        <w:t>
      сақтандыру шарттары бойынша сақтанушылар берешегінің меншікті капиталға қатынасы;</w:t>
      </w:r>
    </w:p>
    <w:p>
      <w:pPr>
        <w:spacing w:after="0"/>
        <w:ind w:left="0"/>
        <w:jc w:val="both"/>
      </w:pPr>
      <w:r>
        <w:rPr>
          <w:rFonts w:ascii="Times New Roman"/>
          <w:b w:val="false"/>
          <w:i w:val="false"/>
          <w:color w:val="000000"/>
          <w:sz w:val="28"/>
        </w:rPr>
        <w:t>
      төлем қабілеттілік маржасының жеткіліктілігі нормативін (Тмн) және өтімділігі жоғары активтердің жеткіліктілігі нормативін (Өжан) орындау;</w:t>
      </w:r>
    </w:p>
    <w:p>
      <w:pPr>
        <w:spacing w:after="0"/>
        <w:ind w:left="0"/>
        <w:jc w:val="both"/>
      </w:pPr>
      <w:r>
        <w:rPr>
          <w:rFonts w:ascii="Times New Roman"/>
          <w:b w:val="false"/>
          <w:i w:val="false"/>
          <w:color w:val="000000"/>
          <w:sz w:val="28"/>
        </w:rPr>
        <w:t>
      шығындылықты сипаттайтын коэффициенттер (аралас коэффициент);</w:t>
      </w:r>
    </w:p>
    <w:p>
      <w:pPr>
        <w:spacing w:after="0"/>
        <w:ind w:left="0"/>
        <w:jc w:val="both"/>
      </w:pPr>
      <w:r>
        <w:rPr>
          <w:rFonts w:ascii="Times New Roman"/>
          <w:b w:val="false"/>
          <w:i w:val="false"/>
          <w:color w:val="000000"/>
          <w:sz w:val="28"/>
        </w:rPr>
        <w:t>
      іс жүргізуге арналған шығыстардың (комиссиялық сыйақылар мен әкімшілік шығыстар) сақтандыру сыйлықақыларына қатынасы.</w:t>
      </w:r>
    </w:p>
    <w:p>
      <w:pPr>
        <w:spacing w:after="0"/>
        <w:ind w:left="0"/>
        <w:jc w:val="both"/>
      </w:pPr>
      <w:r>
        <w:rPr>
          <w:rFonts w:ascii="Times New Roman"/>
          <w:b w:val="false"/>
          <w:i w:val="false"/>
          <w:color w:val="000000"/>
          <w:sz w:val="28"/>
        </w:rPr>
        <w:t>
      Жоғарылату коэффициентінің, жиынтық (біріктірілген) балл мен қаржылық жай-күй көрсеткіштерінің мөлшерлерін Қордың директорлар кеңесі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Ағымдағы қаржы жылына қосымша жарнаның мөлшерлемесін есептеу формуласын Қордың директорлар кеңесі бекітеді. </w:t>
      </w:r>
    </w:p>
    <w:p>
      <w:pPr>
        <w:spacing w:after="0"/>
        <w:ind w:left="0"/>
        <w:jc w:val="both"/>
      </w:pPr>
      <w:r>
        <w:rPr>
          <w:rFonts w:ascii="Times New Roman"/>
          <w:b w:val="false"/>
          <w:i w:val="false"/>
          <w:color w:val="000000"/>
          <w:sz w:val="28"/>
        </w:rPr>
        <w:t xml:space="preserve">
      10. Әдістеменің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айқындалатын қосымша жарнаның мөлшерлемесін Қор есептейді және ол сақтандырудың кепілдік берілген түрі бойынша есептелген сақтандыру сыйлықақыларының жалпы сомасынан 0 (нөл) пайыздан кем және 2 (екі) пайыздан артық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"12. Қор Әдістеменің 4-тармағында көзделген ақпаратты алғаннан кейін күнтізбелік 30 (отыз) күн ішінде "Сақтандыру төлемдеріне кепілдік беру қоры туралы" 2003 жылғы 3 маусымдағы Қазақстан Республикасы Заңының 4-бабы 1-тармағының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уәкілетті органмен келісу бойынша қосымша жарналардың мөлшерлемесін есептейді, бекітеді және оны қатысушы сақтандыру ұйымдарына жазбаша түрде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Шартты міндеттемелердің мөлшерлемесін Қордың директорлар кеңесі бекітеді.</w:t>
      </w:r>
    </w:p>
    <w:p>
      <w:pPr>
        <w:spacing w:after="0"/>
        <w:ind w:left="0"/>
        <w:jc w:val="both"/>
      </w:pPr>
      <w:r>
        <w:rPr>
          <w:rFonts w:ascii="Times New Roman"/>
          <w:b w:val="false"/>
          <w:i w:val="false"/>
          <w:color w:val="000000"/>
          <w:sz w:val="28"/>
        </w:rPr>
        <w:t xml:space="preserve">
      17. Ағымдағы қаржы жылына шартты міндеттемелердің мөлшерлемесін есептеу формуласын Қордың директорлар кеңесі бекітеді және ол әрбір 3 (үш) жылда қайта қаралуға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"19. Қор барлық қатысушы сақтандыру ұйымдарынан Әдістеменің 4-тармағында көзделген ақпаратты алған күннен бастап күнтізбелік 30 (отыз) күн ішінде "Сақтандыру төлемдеріне кепілдік беру қоры туралы" 2003 жылғы 3 маусымдағы Қазақстан Республикасы Заңының 4-бабы 1-тармағының 7) тармақшасына сәйкес уәкілетті органмен келісу бойынша шартты міндеттемелердің мөлшерлемесін есептейді, бекітеді және оны қатысушы сақтандыру ұйымдарына жібереді.".</w:t>
      </w:r>
    </w:p>
    <w:bookmarkStart w:name="z43" w:id="5"/>
    <w:p>
      <w:pPr>
        <w:spacing w:after="0"/>
        <w:ind w:left="0"/>
        <w:jc w:val="both"/>
      </w:pPr>
      <w:r>
        <w:rPr>
          <w:rFonts w:ascii="Times New Roman"/>
          <w:b w:val="false"/>
          <w:i w:val="false"/>
          <w:color w:val="000000"/>
          <w:sz w:val="28"/>
        </w:rPr>
        <w:t>
      3. Бақылау және қадағалау әдіснамасы департаменті (Әбдірахманов Н.А.) заңнамада белгіленген тәртіппен:</w:t>
      </w:r>
    </w:p>
    <w:bookmarkEnd w:id="5"/>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44" w:id="6"/>
    <w:p>
      <w:pPr>
        <w:spacing w:after="0"/>
        <w:ind w:left="0"/>
        <w:jc w:val="both"/>
      </w:pP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6"/>
    <w:bookmarkStart w:name="z45" w:id="7"/>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Қ.Б. Қожахметовке жүктелсін.</w:t>
      </w:r>
    </w:p>
    <w:bookmarkEnd w:id="7"/>
    <w:bookmarkStart w:name="z46" w:id="8"/>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20 қазандағы</w:t>
            </w:r>
            <w:r>
              <w:br/>
            </w:r>
            <w:r>
              <w:rPr>
                <w:rFonts w:ascii="Times New Roman"/>
                <w:b w:val="false"/>
                <w:i w:val="false"/>
                <w:color w:val="000000"/>
                <w:sz w:val="20"/>
              </w:rPr>
              <w:t>№ 197 қаулысына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269</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20 қазандағы</w:t>
            </w:r>
            <w:r>
              <w:br/>
            </w:r>
            <w:r>
              <w:rPr>
                <w:rFonts w:ascii="Times New Roman"/>
                <w:b w:val="false"/>
                <w:i w:val="false"/>
                <w:color w:val="000000"/>
                <w:sz w:val="20"/>
              </w:rPr>
              <w:t>№ 197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269</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20 қазандағы</w:t>
            </w:r>
            <w:r>
              <w:br/>
            </w:r>
            <w:r>
              <w:rPr>
                <w:rFonts w:ascii="Times New Roman"/>
                <w:b w:val="false"/>
                <w:i w:val="false"/>
                <w:color w:val="000000"/>
                <w:sz w:val="20"/>
              </w:rPr>
              <w:t>№ 197 қаулысына 3-қосымша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29.10.2018 </w:t>
      </w:r>
      <w:r>
        <w:rPr>
          <w:rFonts w:ascii="Times New Roman"/>
          <w:b w:val="false"/>
          <w:i w:val="false"/>
          <w:color w:val="ff0000"/>
          <w:sz w:val="28"/>
        </w:rPr>
        <w:t>№ 269</w:t>
      </w:r>
      <w:r>
        <w:rPr>
          <w:rFonts w:ascii="Times New Roman"/>
          <w:b w:val="false"/>
          <w:i w:val="false"/>
          <w:color w:val="ff0000"/>
          <w:sz w:val="28"/>
        </w:rPr>
        <w:t xml:space="preserve"> (01.01.2019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