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4c99" w14:textId="a944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қорын басқару саласындағы тәуекел дәрежесін бағалау критерийлерін және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23 желтоқсандағы № 787 бұйрығы. Қазақстан Республикасының Әділет министрлігінде 2015 жылғы 31 желтоқсанда № 12697 болып тіркелді. Күші жойылды - Қазақстан Республикасы Индустрия және инфрақұрылымдық даму министрінің м.а. 2020 жылғы 29 сәуірдегі № 253 және Қазақстан Республикасы Ұлттық экономика министрінің 2020 жылғы 30 сәуірдегі № 33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29.04.2020 </w:t>
      </w:r>
      <w:r>
        <w:rPr>
          <w:rFonts w:ascii="Times New Roman"/>
          <w:b w:val="false"/>
          <w:i w:val="false"/>
          <w:color w:val="ff0000"/>
          <w:sz w:val="28"/>
        </w:rPr>
        <w:t>№ 253</w:t>
      </w:r>
      <w:r>
        <w:rPr>
          <w:rFonts w:ascii="Times New Roman"/>
          <w:b w:val="false"/>
          <w:i w:val="false"/>
          <w:color w:val="ff0000"/>
          <w:sz w:val="28"/>
        </w:rPr>
        <w:t xml:space="preserve"> және ҚР Ұлттық экономика министрінің 30.04.2020 № 33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 басқару саласындағы тәуекел дәрежесін бағалау критерийлері;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тұрғын үй қорын басқару саласындағы тексеру парағы бекітілсін. </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мерзімдік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xml:space="preserve">
      3. "Тұрғын үй қорын басқару саласындағы тәуекелдер дәрежесін бағалау критерийлерін және тексеру парағының нысанын бекіту туралы" Қазақстан Республикасы Ұлттық экономика министрінің 2015 жылғы 23 маусымдағы № 447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11750 болып тіркелген, "Әділет" ақпараттық-құқықтық жүйесінде 2015 жылғы 17 тамызда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w:t>
      </w:r>
    </w:p>
    <w:p>
      <w:pPr>
        <w:spacing w:after="0"/>
        <w:ind w:left="0"/>
        <w:jc w:val="both"/>
      </w:pPr>
      <w:r>
        <w:rPr>
          <w:rFonts w:ascii="Times New Roman"/>
          <w:b w:val="false"/>
          <w:i w:val="false"/>
          <w:color w:val="000000"/>
          <w:sz w:val="28"/>
        </w:rPr>
        <w:t xml:space="preserve">
      және арнайы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С. Айтпаева____________   </w:t>
      </w:r>
    </w:p>
    <w:p>
      <w:pPr>
        <w:spacing w:after="0"/>
        <w:ind w:left="0"/>
        <w:jc w:val="both"/>
      </w:pPr>
      <w:r>
        <w:rPr>
          <w:rFonts w:ascii="Times New Roman"/>
          <w:b w:val="false"/>
          <w:i w:val="false"/>
          <w:color w:val="000000"/>
          <w:sz w:val="28"/>
        </w:rPr>
        <w:t>
      2015 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787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Тұрғын үй қорын басқару саласындағы тәуекел дәрежесін бағалау критерийлері</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Тұрғын үй қорын басқару саласындағы тәуекел дәрежесін бағалау критерийлері (бұдан әрі – Критерийлер) 2015 жылғы 29 қазандағы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ішінара тексеру жүргізу мақсатында тұрғын үй қорын басқару саласындағы тексерілетін субъектілерді (бұдан әрі – тексеру субъектілері) тәуекел дәрежесіне жатқызу үшін әзірленді.</w:t>
      </w:r>
    </w:p>
    <w:bookmarkEnd w:id="10"/>
    <w:bookmarkStart w:name="z13" w:id="11"/>
    <w:p>
      <w:pPr>
        <w:spacing w:after="0"/>
        <w:ind w:left="0"/>
        <w:jc w:val="both"/>
      </w:pPr>
      <w:r>
        <w:rPr>
          <w:rFonts w:ascii="Times New Roman"/>
          <w:b w:val="false"/>
          <w:i w:val="false"/>
          <w:color w:val="000000"/>
          <w:sz w:val="28"/>
        </w:rPr>
        <w:t>
      2. Осы Критерийлерде мынадай ұғымдар пайдаланылады:</w:t>
      </w:r>
    </w:p>
    <w:bookmarkEnd w:id="11"/>
    <w:bookmarkStart w:name="z14" w:id="12"/>
    <w:p>
      <w:pPr>
        <w:spacing w:after="0"/>
        <w:ind w:left="0"/>
        <w:jc w:val="both"/>
      </w:pPr>
      <w:r>
        <w:rPr>
          <w:rFonts w:ascii="Times New Roman"/>
          <w:b w:val="false"/>
          <w:i w:val="false"/>
          <w:color w:val="000000"/>
          <w:sz w:val="28"/>
        </w:rPr>
        <w:t>
      1) тәуекел дәрежесін бағалау критерийлері – тікелей тексерілетін субъектінің қызметімен, салалық даму ерекшеліктерімен және осы дамуға әсер ететін факторлармен байланысты, тексерілетін субъектілерді әртүрлі тәуекел дәрежесіне жатқызуға мүмкіндік беретін сандық және сапалық көрсеткіштердің жиынтығы;</w:t>
      </w:r>
    </w:p>
    <w:bookmarkEnd w:id="12"/>
    <w:bookmarkStart w:name="z15" w:id="13"/>
    <w:p>
      <w:pPr>
        <w:spacing w:after="0"/>
        <w:ind w:left="0"/>
        <w:jc w:val="both"/>
      </w:pPr>
      <w:r>
        <w:rPr>
          <w:rFonts w:ascii="Times New Roman"/>
          <w:b w:val="false"/>
          <w:i w:val="false"/>
          <w:color w:val="000000"/>
          <w:sz w:val="28"/>
        </w:rPr>
        <w:t>
      2) тексерілетін субъектілер – кызметіне мемлекеттік бақылау жүзеге асырылатын кондоминиум объектісін басқару органдары;</w:t>
      </w:r>
    </w:p>
    <w:bookmarkEnd w:id="13"/>
    <w:bookmarkStart w:name="z16" w:id="14"/>
    <w:p>
      <w:pPr>
        <w:spacing w:after="0"/>
        <w:ind w:left="0"/>
        <w:jc w:val="both"/>
      </w:pPr>
      <w:r>
        <w:rPr>
          <w:rFonts w:ascii="Times New Roman"/>
          <w:b w:val="false"/>
          <w:i w:val="false"/>
          <w:color w:val="000000"/>
          <w:sz w:val="28"/>
        </w:rPr>
        <w:t>
      3) тұрғын үй қорын басқару саласындағы тәуекел – кондоминиум объектілерінің ортақ мүлкінің техникалық жай-күйін нашарлау, олардың элементтерінің мерзімінен бұрын тозу, тұрғын үй қорын пайдалану және күтіп-ұстау талаптары мен нормаларының бұзылуына алып келетін авариялардың пайда болу, кондоминиум объектісінің (тұрғын үйдің) конструкцияларының төзімділігі мен ондағы инженерлік жүйелер жұмысының қауіпсіздігін төмендету ықтималдығы;</w:t>
      </w:r>
    </w:p>
    <w:bookmarkEnd w:id="14"/>
    <w:bookmarkStart w:name="z17" w:id="15"/>
    <w:p>
      <w:pPr>
        <w:spacing w:after="0"/>
        <w:ind w:left="0"/>
        <w:jc w:val="both"/>
      </w:pPr>
      <w:r>
        <w:rPr>
          <w:rFonts w:ascii="Times New Roman"/>
          <w:b w:val="false"/>
          <w:i w:val="false"/>
          <w:color w:val="000000"/>
          <w:sz w:val="28"/>
        </w:rPr>
        <w:t>
      4) тұрғын үй қорын басқару саласындағы өрескел бұзушылық – жеке не заңды тұлғалардан түскен екі және одан көп расталған шағымның болуымен сипатталатын бұзұшылық;</w:t>
      </w:r>
    </w:p>
    <w:bookmarkEnd w:id="15"/>
    <w:bookmarkStart w:name="z18" w:id="16"/>
    <w:p>
      <w:pPr>
        <w:spacing w:after="0"/>
        <w:ind w:left="0"/>
        <w:jc w:val="both"/>
      </w:pPr>
      <w:r>
        <w:rPr>
          <w:rFonts w:ascii="Times New Roman"/>
          <w:b w:val="false"/>
          <w:i w:val="false"/>
          <w:color w:val="000000"/>
          <w:sz w:val="28"/>
        </w:rPr>
        <w:t>
      5) тұрғын үй қорын басқару саласындағы елеулі бұзұшылықтар – әділет кондоминиум объектілерінің әділет органдарында тіркеудің, екінші деңгейдегі банктерде әрбір кондоминиум объектісіне жинақ және ағымдағы шотының, үй-жайлардың (пәтерлердің) меншік иелері кооперативі мүшелері жиналысының хаттамасымен бекітілген кондоминиум объектісінің ортақ мүлкін күтіп-ұстауға арналған шығыстар сметасының, үй-жайлардың (пәтерлердің) меншік иелері жиналысының хаттамалық шешімімен мақұлданған сервистік қызмет субъектісімен жасалған шарттың болмауымен сипатталатын, кондоминиум объектісін басқару органының кондоминиум объектісін басқару бойынша тоқсан сайынғы есептің мерзімдерін сақтамауымен сипатталатын, кондоминиум объектісінің ортақ мүлкін орталықтан жылыту, сумен жабдықтау, су бұру, электрмен жабдықтау жүйелерінде ақаулардың, кондоминиум объектісінің ортақ мүлкін күтіп-ұстау қағидаларын бұзушылықтарды жою бойынша орындалмаған нұсқаулардың болуымен сипатталатын тұрғын үй заңнамасының талаптарын сақтамауды білдіретін бұзушылықтар немесе жеке не заңды тұлғадан бір расталған шағымның болуымен сипатталатын бұзұшылық;</w:t>
      </w:r>
    </w:p>
    <w:bookmarkEnd w:id="16"/>
    <w:bookmarkStart w:name="z19" w:id="17"/>
    <w:p>
      <w:pPr>
        <w:spacing w:after="0"/>
        <w:ind w:left="0"/>
        <w:jc w:val="both"/>
      </w:pPr>
      <w:r>
        <w:rPr>
          <w:rFonts w:ascii="Times New Roman"/>
          <w:b w:val="false"/>
          <w:i w:val="false"/>
          <w:color w:val="000000"/>
          <w:sz w:val="28"/>
        </w:rPr>
        <w:t xml:space="preserve">
      6) тұрғын үй қорын басқару саласындағы елеусіз бұзұшылықтар – кондоминиум объектісін басқару шартының үлгі нысанына сәйкес келетін кондоминиум объектісін басқару шартының, кондоминиум объектісінің конструкциялары мен инженерлік жабдықтарының техникалық жай-күйіне жоспарлы тексеру жүргізу туралы растайтын құжаттардың, жертөлелік үй-жайларда және кондоминиум объектісінің ортақ мүлкі орналасқан жерде дезинфекция, дезинсекция, дератизация бойынша жұмыстарды орындау туралы растайтын құжаттардың, тұрғын үй көмегінің қатысумен қаржыландырылатын кондоминиум объектісінің ортақ мүлкін күрделі жөндеудің жекелеген түрлерін жүргізуге арналған шығыстар сметаларын тұрғын үй инспекцияларымен келісудің (үй-жайлардың (пәтерлердің) меншік иелері жиналысының тұрғын үй көмегінің қатысумен қаржыландырылатын күрделі жөндеу жүргізу туралы хаттамалық шешімі болған кезде) болмауымен сипатталатын, үй-жайлардың (пәтерлердің) меншік иелерінің кооперативі басқармасы өкілеттігінің тексерілетін субъектінің жарғысында айқындалған мерзімдерді сақталмауымен сипатталатын, үй-жайлардың (пәтерлердің) меншік иелері жиналысы хаттамаларының Қазақстан Республикасы Ұлттық экономика министрінің 2015 жылғы 20 наурыздағы № 243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10573 болып тіркелген Үй-жайлардың (пәтерлердің) меншік иелері жиналысының үлгілік хаттамасына сәйкессіздігімен сипатталатын тұрғын үй заңнамасының талаптарын сақтамауды білдіретін бұзушылықтар.</w:t>
      </w:r>
    </w:p>
    <w:bookmarkEnd w:id="17"/>
    <w:bookmarkStart w:name="z20" w:id="18"/>
    <w:p>
      <w:pPr>
        <w:spacing w:after="0"/>
        <w:ind w:left="0"/>
        <w:jc w:val="both"/>
      </w:pPr>
      <w:r>
        <w:rPr>
          <w:rFonts w:ascii="Times New Roman"/>
          <w:b w:val="false"/>
          <w:i w:val="false"/>
          <w:color w:val="000000"/>
          <w:sz w:val="28"/>
        </w:rPr>
        <w:t>
      3. Ішінара тексерулер үшін тәуекелдер дәрежесін бағалау критерийлері объективті және субъективті критерийлер арқылы қалыптасады.</w:t>
      </w:r>
    </w:p>
    <w:bookmarkEnd w:id="18"/>
    <w:bookmarkStart w:name="z21" w:id="19"/>
    <w:p>
      <w:pPr>
        <w:spacing w:after="0"/>
        <w:ind w:left="0"/>
        <w:jc w:val="left"/>
      </w:pPr>
      <w:r>
        <w:rPr>
          <w:rFonts w:ascii="Times New Roman"/>
          <w:b/>
          <w:i w:val="false"/>
          <w:color w:val="000000"/>
        </w:rPr>
        <w:t xml:space="preserve"> 2. Тәуекелдер дәрежесін бағалаудың объективті критерийлері</w:t>
      </w:r>
    </w:p>
    <w:bookmarkEnd w:id="19"/>
    <w:bookmarkStart w:name="z22" w:id="20"/>
    <w:p>
      <w:pPr>
        <w:spacing w:after="0"/>
        <w:ind w:left="0"/>
        <w:jc w:val="both"/>
      </w:pPr>
      <w:r>
        <w:rPr>
          <w:rFonts w:ascii="Times New Roman"/>
          <w:b w:val="false"/>
          <w:i w:val="false"/>
          <w:color w:val="000000"/>
          <w:sz w:val="28"/>
        </w:rPr>
        <w:t>
      4. Объективті критерийлер бойынша тексерілетін субъектілер жоғары және жоғары дәрежеге жатпайтын болып екі тәуекел дәрежесіне бөлінеді.</w:t>
      </w:r>
    </w:p>
    <w:bookmarkEnd w:id="20"/>
    <w:p>
      <w:pPr>
        <w:spacing w:after="0"/>
        <w:ind w:left="0"/>
        <w:jc w:val="both"/>
      </w:pPr>
      <w:r>
        <w:rPr>
          <w:rFonts w:ascii="Times New Roman"/>
          <w:b w:val="false"/>
          <w:i w:val="false"/>
          <w:color w:val="000000"/>
          <w:sz w:val="28"/>
        </w:rPr>
        <w:t>
      Жоғары тәуекел дәрежесіне:</w:t>
      </w:r>
    </w:p>
    <w:bookmarkStart w:name="z23" w:id="21"/>
    <w:p>
      <w:pPr>
        <w:spacing w:after="0"/>
        <w:ind w:left="0"/>
        <w:jc w:val="both"/>
      </w:pPr>
      <w:r>
        <w:rPr>
          <w:rFonts w:ascii="Times New Roman"/>
          <w:b w:val="false"/>
          <w:i w:val="false"/>
          <w:color w:val="000000"/>
          <w:sz w:val="28"/>
        </w:rPr>
        <w:t>
      1) екі немесе одан көп тұрғын үйлерді басқарып отырған тексерілетін субъектілер;</w:t>
      </w:r>
    </w:p>
    <w:bookmarkEnd w:id="21"/>
    <w:bookmarkStart w:name="z24" w:id="22"/>
    <w:p>
      <w:pPr>
        <w:spacing w:after="0"/>
        <w:ind w:left="0"/>
        <w:jc w:val="both"/>
      </w:pPr>
      <w:r>
        <w:rPr>
          <w:rFonts w:ascii="Times New Roman"/>
          <w:b w:val="false"/>
          <w:i w:val="false"/>
          <w:color w:val="000000"/>
          <w:sz w:val="28"/>
        </w:rPr>
        <w:t>
      2) 20 жылдан астам пайдаланатын тұрғын үйлерді басқарып отырған тексерілетін субъектілер жатады.</w:t>
      </w:r>
    </w:p>
    <w:bookmarkEnd w:id="22"/>
    <w:p>
      <w:pPr>
        <w:spacing w:after="0"/>
        <w:ind w:left="0"/>
        <w:jc w:val="both"/>
      </w:pPr>
      <w:r>
        <w:rPr>
          <w:rFonts w:ascii="Times New Roman"/>
          <w:b w:val="false"/>
          <w:i w:val="false"/>
          <w:color w:val="000000"/>
          <w:sz w:val="28"/>
        </w:rPr>
        <w:t>
      Жоғары тәуекел дәрежесіне жатқызылған тексерілетін субъектілерге қатысты ішінара тексерулер жүргізіледі.</w:t>
      </w:r>
    </w:p>
    <w:p>
      <w:pPr>
        <w:spacing w:after="0"/>
        <w:ind w:left="0"/>
        <w:jc w:val="both"/>
      </w:pPr>
      <w:r>
        <w:rPr>
          <w:rFonts w:ascii="Times New Roman"/>
          <w:b w:val="false"/>
          <w:i w:val="false"/>
          <w:color w:val="000000"/>
          <w:sz w:val="28"/>
        </w:rPr>
        <w:t>
      Жоғары тәуекел дәрежесіне жатпайтын тексерілетін субъектілерге қатысты жоспардан тыс тексерулер жүргізіледі.</w:t>
      </w:r>
    </w:p>
    <w:bookmarkStart w:name="z25" w:id="23"/>
    <w:p>
      <w:pPr>
        <w:spacing w:after="0"/>
        <w:ind w:left="0"/>
        <w:jc w:val="left"/>
      </w:pPr>
      <w:r>
        <w:rPr>
          <w:rFonts w:ascii="Times New Roman"/>
          <w:b/>
          <w:i w:val="false"/>
          <w:color w:val="000000"/>
        </w:rPr>
        <w:t xml:space="preserve"> 3. Тәуекелдер дәрежесін бағалаудың субъективті критерийлері</w:t>
      </w:r>
    </w:p>
    <w:bookmarkEnd w:id="23"/>
    <w:bookmarkStart w:name="z26" w:id="24"/>
    <w:p>
      <w:pPr>
        <w:spacing w:after="0"/>
        <w:ind w:left="0"/>
        <w:jc w:val="both"/>
      </w:pPr>
      <w:r>
        <w:rPr>
          <w:rFonts w:ascii="Times New Roman"/>
          <w:b w:val="false"/>
          <w:i w:val="false"/>
          <w:color w:val="000000"/>
          <w:sz w:val="28"/>
        </w:rPr>
        <w:t>
      5. Кейін тексерілетін субъектілерді тәуекел дәрежесі бойынша жатқызу субъективті критерийлер ескеріле отырып жүзеге асырылады. Субъективті критерийлерді қалыптастыру үшін мынадай ақпарат көздері пайдаланылады:</w:t>
      </w:r>
    </w:p>
    <w:bookmarkEnd w:id="24"/>
    <w:bookmarkStart w:name="z27" w:id="25"/>
    <w:p>
      <w:pPr>
        <w:spacing w:after="0"/>
        <w:ind w:left="0"/>
        <w:jc w:val="both"/>
      </w:pPr>
      <w:r>
        <w:rPr>
          <w:rFonts w:ascii="Times New Roman"/>
          <w:b w:val="false"/>
          <w:i w:val="false"/>
          <w:color w:val="000000"/>
          <w:sz w:val="28"/>
        </w:rPr>
        <w:t>
      1) алдыңғы тексерулердің нәтижелері. Бұл ретте, бұзушылықтың ауырлық дәрежесі (өрескел, елеулі, елеусіз) тексеру парақтарында көрсетілген заңнамалық талаптар сақталмаған жағдайда белгіленеді;</w:t>
      </w:r>
    </w:p>
    <w:bookmarkEnd w:id="25"/>
    <w:bookmarkStart w:name="z28" w:id="26"/>
    <w:p>
      <w:pPr>
        <w:spacing w:after="0"/>
        <w:ind w:left="0"/>
        <w:jc w:val="both"/>
      </w:pPr>
      <w:r>
        <w:rPr>
          <w:rFonts w:ascii="Times New Roman"/>
          <w:b w:val="false"/>
          <w:i w:val="false"/>
          <w:color w:val="000000"/>
          <w:sz w:val="28"/>
        </w:rPr>
        <w:t>
      2) азаматтардан және заңды тұлғалардан түскен расталған шағымдар мен өтініштердің, кондоминиум объектісінің ортақ мүлкін күтіп-ұстау қағидаларын бұзушылықтарды жою бойынша орындалмаған нұсқаулардың болуы.</w:t>
      </w:r>
    </w:p>
    <w:bookmarkEnd w:id="26"/>
    <w:bookmarkStart w:name="z29" w:id="27"/>
    <w:p>
      <w:pPr>
        <w:spacing w:after="0"/>
        <w:ind w:left="0"/>
        <w:jc w:val="both"/>
      </w:pPr>
      <w:r>
        <w:rPr>
          <w:rFonts w:ascii="Times New Roman"/>
          <w:b w:val="false"/>
          <w:i w:val="false"/>
          <w:color w:val="000000"/>
          <w:sz w:val="28"/>
        </w:rPr>
        <w:t>
      6. Қолда бар ақпарат көздері негізінде субъективті критерийлер үш бұзушылық дәрежесіне бөлінеді: өрескел, елеулі, елеусіз.</w:t>
      </w:r>
    </w:p>
    <w:bookmarkEnd w:id="27"/>
    <w:p>
      <w:pPr>
        <w:spacing w:after="0"/>
        <w:ind w:left="0"/>
        <w:jc w:val="both"/>
      </w:pPr>
      <w:r>
        <w:rPr>
          <w:rFonts w:ascii="Times New Roman"/>
          <w:b w:val="false"/>
          <w:i w:val="false"/>
          <w:color w:val="000000"/>
          <w:sz w:val="28"/>
        </w:rPr>
        <w:t xml:space="preserve">
      Субъективті критерийлер осы Критерийлерге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30" w:id="28"/>
    <w:p>
      <w:pPr>
        <w:spacing w:after="0"/>
        <w:ind w:left="0"/>
        <w:jc w:val="both"/>
      </w:pPr>
      <w:r>
        <w:rPr>
          <w:rFonts w:ascii="Times New Roman"/>
          <w:b w:val="false"/>
          <w:i w:val="false"/>
          <w:color w:val="000000"/>
          <w:sz w:val="28"/>
        </w:rPr>
        <w:t>
      7. Бір өрескел бұзушылық анықталған кезде тексерілетін субъектіге 100 тәуекел дәрежесі беріледі және оған қатысты ішінара тексеру жүргізіледі.</w:t>
      </w:r>
    </w:p>
    <w:bookmarkEnd w:id="28"/>
    <w:p>
      <w:pPr>
        <w:spacing w:after="0"/>
        <w:ind w:left="0"/>
        <w:jc w:val="both"/>
      </w:pPr>
      <w:r>
        <w:rPr>
          <w:rFonts w:ascii="Times New Roman"/>
          <w:b w:val="false"/>
          <w:i w:val="false"/>
          <w:color w:val="000000"/>
          <w:sz w:val="28"/>
        </w:rPr>
        <w:t>
      Егер өрескел бұзушылық анықталмаса, онда тәуекел дәрежесін анықтау үшін елеулі және елеусіз бұзушылықтар бойынша жиынтық мәндер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 және бұл көрсеткіш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177800"/>
                    </a:xfrm>
                    <a:prstGeom prst="rect">
                      <a:avLst/>
                    </a:prstGeom>
                  </pic:spPr>
                </pic:pic>
              </a:graphicData>
            </a:graphic>
          </wp:inline>
        </w:drawing>
      </w:r>
    </w:p>
    <w:p>
      <w:pPr>
        <w:spacing w:after="0"/>
        <w:ind w:left="0"/>
        <w:jc w:val="left"/>
      </w:pPr>
      <w:r>
        <w:rPr>
          <w:rFonts w:ascii="Times New Roman"/>
          <w:b w:val="false"/>
          <w:i w:val="false"/>
          <w:color w:val="000000"/>
          <w:sz w:val="28"/>
        </w:rPr>
        <w:t>– елеулі бұзушылықтар көрсеткіші;</w:t>
      </w:r>
      <w:r>
        <w:br/>
      </w:r>
      <w:r>
        <w:rPr>
          <w:rFonts w:ascii="Times New Roman"/>
          <w:b w:val="false"/>
          <w:i w:val="false"/>
          <w:color w:val="000000"/>
          <w:sz w:val="28"/>
        </w:rPr>
        <w:t>
</w:t>
      </w:r>
      <w:r>
        <w:br/>
      </w:r>
    </w:p>
    <w:p>
      <w:pPr>
        <w:spacing w:after="0"/>
        <w:ind w:left="0"/>
        <w:jc w:val="both"/>
      </w:pPr>
      <w:r>
        <w:drawing>
          <wp:inline distT="0" distB="0" distL="0" distR="0">
            <wp:extent cx="292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177800"/>
                    </a:xfrm>
                    <a:prstGeom prst="rect">
                      <a:avLst/>
                    </a:prstGeom>
                  </pic:spPr>
                </pic:pic>
              </a:graphicData>
            </a:graphic>
          </wp:inline>
        </w:drawing>
      </w:r>
    </w:p>
    <w:p>
      <w:pPr>
        <w:spacing w:after="0"/>
        <w:ind w:left="0"/>
        <w:jc w:val="left"/>
      </w:pPr>
      <w:r>
        <w:rPr>
          <w:rFonts w:ascii="Times New Roman"/>
          <w:b w:val="false"/>
          <w:i w:val="false"/>
          <w:color w:val="000000"/>
          <w:sz w:val="28"/>
        </w:rPr>
        <w:t>– елеулі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анықталған елеулі бұзушылықтардың саны.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Елеусіз бұзушылықтар көрсеткішін анықтау кезінде 0,3 коэффициенті қолданылады және бұл көрсеткіш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352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177800"/>
                    </a:xfrm>
                    <a:prstGeom prst="rect">
                      <a:avLst/>
                    </a:prstGeom>
                  </pic:spPr>
                </pic:pic>
              </a:graphicData>
            </a:graphic>
          </wp:inline>
        </w:drawing>
      </w:r>
    </w:p>
    <w:p>
      <w:pPr>
        <w:spacing w:after="0"/>
        <w:ind w:left="0"/>
        <w:jc w:val="left"/>
      </w:pPr>
      <w:r>
        <w:rPr>
          <w:rFonts w:ascii="Times New Roman"/>
          <w:b w:val="false"/>
          <w:i w:val="false"/>
          <w:color w:val="000000"/>
          <w:sz w:val="28"/>
        </w:rPr>
        <w:t>– елеусіз бұзушылықтар көрсеткіші;</w:t>
      </w:r>
      <w:r>
        <w:br/>
      </w:r>
      <w:r>
        <w:rPr>
          <w:rFonts w:ascii="Times New Roman"/>
          <w:b w:val="false"/>
          <w:i w:val="false"/>
          <w:color w:val="000000"/>
          <w:sz w:val="28"/>
        </w:rPr>
        <w:t>
</w:t>
      </w:r>
      <w:r>
        <w:br/>
      </w:r>
    </w:p>
    <w:p>
      <w:pPr>
        <w:spacing w:after="0"/>
        <w:ind w:left="0"/>
        <w:jc w:val="both"/>
      </w:pPr>
      <w:r>
        <w:drawing>
          <wp:inline distT="0" distB="0" distL="0" distR="0">
            <wp:extent cx="292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177800"/>
                    </a:xfrm>
                    <a:prstGeom prst="rect">
                      <a:avLst/>
                    </a:prstGeom>
                  </pic:spPr>
                </pic:pic>
              </a:graphicData>
            </a:graphic>
          </wp:inline>
        </w:drawing>
      </w:r>
    </w:p>
    <w:p>
      <w:pPr>
        <w:spacing w:after="0"/>
        <w:ind w:left="0"/>
        <w:jc w:val="left"/>
      </w:pPr>
      <w:r>
        <w:rPr>
          <w:rFonts w:ascii="Times New Roman"/>
          <w:b w:val="false"/>
          <w:i w:val="false"/>
          <w:color w:val="000000"/>
          <w:sz w:val="28"/>
        </w:rPr>
        <w:t>– елеулі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анықталған елеусіз бұзушылықтар саны.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w:t>
      </w:r>
    </w:p>
    <w:p>
      <w:pPr>
        <w:spacing w:after="0"/>
        <w:ind w:left="0"/>
        <w:jc w:val="both"/>
      </w:pPr>
      <w:r>
        <w:drawing>
          <wp:inline distT="0" distB="0" distL="0" distR="0">
            <wp:extent cx="241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152400"/>
                    </a:xfrm>
                    <a:prstGeom prst="rect">
                      <a:avLst/>
                    </a:prstGeom>
                  </pic:spPr>
                </pic:pic>
              </a:graphicData>
            </a:graphic>
          </wp:inline>
        </w:drawing>
      </w:r>
    </w:p>
    <w:p>
      <w:pPr>
        <w:spacing w:after="0"/>
        <w:ind w:left="0"/>
        <w:jc w:val="left"/>
      </w:pPr>
      <w:r>
        <w:rPr>
          <w:rFonts w:ascii="Times New Roman"/>
          <w:b w:val="false"/>
          <w:i w:val="false"/>
          <w:color w:val="000000"/>
          <w:sz w:val="28"/>
        </w:rPr>
        <w:t>) 0-ден 100-ге дейінгі шәкіл бойынша есептеледі және мынадай формула бойынша елеулі және елеусіз бұзушылықтар көрсеткіштерін қосу жолымен анықталады:</w:t>
      </w:r>
      <w:r>
        <w:br/>
      </w:r>
      <w:r>
        <w:rPr>
          <w:rFonts w:ascii="Times New Roman"/>
          <w:b w:val="false"/>
          <w:i w:val="false"/>
          <w:color w:val="000000"/>
          <w:sz w:val="28"/>
        </w:rPr>
        <w:t>
</w:t>
      </w:r>
      <w:r>
        <w:br/>
      </w:r>
    </w:p>
    <w:p>
      <w:pPr>
        <w:spacing w:after="0"/>
        <w:ind w:left="0"/>
        <w:jc w:val="both"/>
      </w:pPr>
      <w:r>
        <w:drawing>
          <wp:inline distT="0" distB="0" distL="0" distR="0">
            <wp:extent cx="1282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827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152400"/>
                    </a:xfrm>
                    <a:prstGeom prst="rect">
                      <a:avLst/>
                    </a:prstGeom>
                  </pic:spPr>
                </pic:pic>
              </a:graphicData>
            </a:graphic>
          </wp:inline>
        </w:drawing>
      </w:r>
    </w:p>
    <w:p>
      <w:pPr>
        <w:spacing w:after="0"/>
        <w:ind w:left="0"/>
        <w:jc w:val="left"/>
      </w:pPr>
      <w:r>
        <w:rPr>
          <w:rFonts w:ascii="Times New Roman"/>
          <w:b w:val="false"/>
          <w:i w:val="false"/>
          <w:color w:val="000000"/>
          <w:sz w:val="28"/>
        </w:rPr>
        <w:t>–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330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177800"/>
                    </a:xfrm>
                    <a:prstGeom prst="rect">
                      <a:avLst/>
                    </a:prstGeom>
                  </pic:spPr>
                </pic:pic>
              </a:graphicData>
            </a:graphic>
          </wp:inline>
        </w:drawing>
      </w:r>
    </w:p>
    <w:p>
      <w:pPr>
        <w:spacing w:after="0"/>
        <w:ind w:left="0"/>
        <w:jc w:val="left"/>
      </w:pPr>
      <w:r>
        <w:rPr>
          <w:rFonts w:ascii="Times New Roman"/>
          <w:b w:val="false"/>
          <w:i w:val="false"/>
          <w:color w:val="000000"/>
          <w:sz w:val="28"/>
        </w:rPr>
        <w:t>– елеулі бұзушылықтар көрсеткіші;</w:t>
      </w:r>
      <w:r>
        <w:br/>
      </w:r>
      <w:r>
        <w:rPr>
          <w:rFonts w:ascii="Times New Roman"/>
          <w:b w:val="false"/>
          <w:i w:val="false"/>
          <w:color w:val="000000"/>
          <w:sz w:val="28"/>
        </w:rPr>
        <w:t>
</w:t>
      </w:r>
      <w:r>
        <w:br/>
      </w:r>
    </w:p>
    <w:p>
      <w:pPr>
        <w:spacing w:after="0"/>
        <w:ind w:left="0"/>
        <w:jc w:val="both"/>
      </w:pPr>
      <w:r>
        <w:drawing>
          <wp:inline distT="0" distB="0" distL="0" distR="0">
            <wp:extent cx="355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177800"/>
                    </a:xfrm>
                    <a:prstGeom prst="rect">
                      <a:avLst/>
                    </a:prstGeom>
                  </pic:spPr>
                </pic:pic>
              </a:graphicData>
            </a:graphic>
          </wp:inline>
        </w:drawing>
      </w:r>
    </w:p>
    <w:p>
      <w:pPr>
        <w:spacing w:after="0"/>
        <w:ind w:left="0"/>
        <w:jc w:val="left"/>
      </w:pPr>
      <w:r>
        <w:rPr>
          <w:rFonts w:ascii="Times New Roman"/>
          <w:b w:val="false"/>
          <w:i w:val="false"/>
          <w:color w:val="000000"/>
          <w:sz w:val="28"/>
        </w:rPr>
        <w:t>– елеусіз бұзушылықтар көрсеткіші.</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8. Тәуекел дәрежесінің көрсеткіштері бойынша тексерілетін субъект (объект) мыналарға жатқызылады:</w:t>
      </w:r>
    </w:p>
    <w:bookmarkEnd w:id="29"/>
    <w:bookmarkStart w:name="z32" w:id="30"/>
    <w:p>
      <w:pPr>
        <w:spacing w:after="0"/>
        <w:ind w:left="0"/>
        <w:jc w:val="both"/>
      </w:pPr>
      <w:r>
        <w:rPr>
          <w:rFonts w:ascii="Times New Roman"/>
          <w:b w:val="false"/>
          <w:i w:val="false"/>
          <w:color w:val="000000"/>
          <w:sz w:val="28"/>
        </w:rPr>
        <w:t>
      1) жоғары тәуекел дәрежесіне – тәуекел дәрежесінің көрсеткіші 60-тан 100-ге дейін болған кезде және оған қатысты ішінара тексеру жүргізіледі;</w:t>
      </w:r>
    </w:p>
    <w:bookmarkEnd w:id="30"/>
    <w:bookmarkStart w:name="z33" w:id="31"/>
    <w:p>
      <w:pPr>
        <w:spacing w:after="0"/>
        <w:ind w:left="0"/>
        <w:jc w:val="both"/>
      </w:pPr>
      <w:r>
        <w:rPr>
          <w:rFonts w:ascii="Times New Roman"/>
          <w:b w:val="false"/>
          <w:i w:val="false"/>
          <w:color w:val="000000"/>
          <w:sz w:val="28"/>
        </w:rPr>
        <w:t>
      2) жоғары тәуекел дәрежесіне жатпайтынға – тәуекел дәрежесінің көрсеткіші 0-ден 60-қа дейін болған кезде және оған қатысты ішінара тексеру жүргізілмейді.</w:t>
      </w:r>
    </w:p>
    <w:bookmarkEnd w:id="31"/>
    <w:bookmarkStart w:name="z34" w:id="32"/>
    <w:p>
      <w:pPr>
        <w:spacing w:after="0"/>
        <w:ind w:left="0"/>
        <w:jc w:val="both"/>
      </w:pPr>
      <w:r>
        <w:rPr>
          <w:rFonts w:ascii="Times New Roman"/>
          <w:b w:val="false"/>
          <w:i w:val="false"/>
          <w:color w:val="000000"/>
          <w:sz w:val="28"/>
        </w:rPr>
        <w:t>
      9. Инфокоммуникациялық технологиялар, оның ішінде:</w:t>
      </w:r>
    </w:p>
    <w:bookmarkEnd w:id="32"/>
    <w:p>
      <w:pPr>
        <w:spacing w:after="0"/>
        <w:ind w:left="0"/>
        <w:jc w:val="both"/>
      </w:pPr>
      <w:r>
        <w:rPr>
          <w:rFonts w:ascii="Times New Roman"/>
          <w:b w:val="false"/>
          <w:i w:val="false"/>
          <w:color w:val="000000"/>
          <w:sz w:val="28"/>
        </w:rPr>
        <w:t>
      ақпараттық (кибер) қауіпсіздік саласындағы технологиялар;</w:t>
      </w:r>
    </w:p>
    <w:p>
      <w:pPr>
        <w:spacing w:after="0"/>
        <w:ind w:left="0"/>
        <w:jc w:val="both"/>
      </w:pPr>
      <w:r>
        <w:rPr>
          <w:rFonts w:ascii="Times New Roman"/>
          <w:b w:val="false"/>
          <w:i w:val="false"/>
          <w:color w:val="000000"/>
          <w:sz w:val="28"/>
        </w:rPr>
        <w:t>
      электрондық өнеркәсіп технологиялары.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22.11.2017 </w:t>
      </w:r>
      <w:r>
        <w:rPr>
          <w:rFonts w:ascii="Times New Roman"/>
          <w:b w:val="false"/>
          <w:i w:val="false"/>
          <w:color w:val="ff0000"/>
          <w:sz w:val="28"/>
        </w:rPr>
        <w:t>№ 801</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10. Ішінара тексерулер жүргізу жылына бір реттен жиі болмауы тиіс.</w:t>
      </w:r>
    </w:p>
    <w:bookmarkEnd w:id="33"/>
    <w:bookmarkStart w:name="z36" w:id="34"/>
    <w:p>
      <w:pPr>
        <w:spacing w:after="0"/>
        <w:ind w:left="0"/>
        <w:jc w:val="both"/>
      </w:pPr>
      <w:r>
        <w:rPr>
          <w:rFonts w:ascii="Times New Roman"/>
          <w:b w:val="false"/>
          <w:i w:val="false"/>
          <w:color w:val="000000"/>
          <w:sz w:val="28"/>
        </w:rPr>
        <w:t xml:space="preserve">
      11. Ішінара тексерулер жергілікті атқарушы органның бірінші басшысы бекіткен, жүргізілген талдау мен бағалаудың нәтижелері бойынша жарты жылға қалыптастырылған ішінара тексеру тізімдерінің негізінде жүргізіледі. Ішінара тексерулер тізімі тиісті есепті кезең басталғанға дейін келгенде күнтізбелік он бес күн бұрын мерзімнен кешіктірмей құқықтық статистика және арнайы есепке алу жөніндегі уәкілетті органға жіберіледі. </w:t>
      </w:r>
    </w:p>
    <w:bookmarkEnd w:id="34"/>
    <w:bookmarkStart w:name="z37" w:id="35"/>
    <w:p>
      <w:pPr>
        <w:spacing w:after="0"/>
        <w:ind w:left="0"/>
        <w:jc w:val="both"/>
      </w:pPr>
      <w:r>
        <w:rPr>
          <w:rFonts w:ascii="Times New Roman"/>
          <w:b w:val="false"/>
          <w:i w:val="false"/>
          <w:color w:val="000000"/>
          <w:sz w:val="28"/>
        </w:rPr>
        <w:t xml:space="preserve">
      12. Ішінара тексеру тізімдері: </w:t>
      </w:r>
    </w:p>
    <w:bookmarkEnd w:id="35"/>
    <w:bookmarkStart w:name="z38" w:id="36"/>
    <w:p>
      <w:pPr>
        <w:spacing w:after="0"/>
        <w:ind w:left="0"/>
        <w:jc w:val="both"/>
      </w:pPr>
      <w:r>
        <w:rPr>
          <w:rFonts w:ascii="Times New Roman"/>
          <w:b w:val="false"/>
          <w:i w:val="false"/>
          <w:color w:val="000000"/>
          <w:sz w:val="28"/>
        </w:rPr>
        <w:t>
      1) субъективті критерийлер бойынша тәуекел дәрежесінің ең көп көрсеткіштері бар тексерілетін субъектілердің басымдылығы;</w:t>
      </w:r>
    </w:p>
    <w:bookmarkEnd w:id="36"/>
    <w:bookmarkStart w:name="z39" w:id="37"/>
    <w:p>
      <w:pPr>
        <w:spacing w:after="0"/>
        <w:ind w:left="0"/>
        <w:jc w:val="both"/>
      </w:pPr>
      <w:r>
        <w:rPr>
          <w:rFonts w:ascii="Times New Roman"/>
          <w:b w:val="false"/>
          <w:i w:val="false"/>
          <w:color w:val="000000"/>
          <w:sz w:val="28"/>
        </w:rPr>
        <w:t>
      2) тексеруді жүзеге асыратын мемлекеттік органның лауазымды тұлғаларына салынған жүктемелер ескеріле отырып, жасалады.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қорын басқару</w:t>
            </w:r>
            <w:r>
              <w:br/>
            </w:r>
            <w:r>
              <w:rPr>
                <w:rFonts w:ascii="Times New Roman"/>
                <w:b w:val="false"/>
                <w:i w:val="false"/>
                <w:color w:val="000000"/>
                <w:sz w:val="20"/>
              </w:rPr>
              <w:t>саласындағы тәуекелдер</w:t>
            </w:r>
            <w:r>
              <w:br/>
            </w:r>
            <w:r>
              <w:rPr>
                <w:rFonts w:ascii="Times New Roman"/>
                <w:b w:val="false"/>
                <w:i w:val="false"/>
                <w:color w:val="000000"/>
                <w:sz w:val="20"/>
              </w:rPr>
              <w:t>дәрежесін бағалау</w:t>
            </w:r>
            <w:r>
              <w:br/>
            </w:r>
            <w:r>
              <w:rPr>
                <w:rFonts w:ascii="Times New Roman"/>
                <w:b w:val="false"/>
                <w:i w:val="false"/>
                <w:color w:val="000000"/>
                <w:sz w:val="20"/>
              </w:rPr>
              <w:t>критерийлеріне қосымша</w:t>
            </w:r>
          </w:p>
        </w:tc>
      </w:tr>
    </w:tbl>
    <w:bookmarkStart w:name="z41" w:id="38"/>
    <w:p>
      <w:pPr>
        <w:spacing w:after="0"/>
        <w:ind w:left="0"/>
        <w:jc w:val="left"/>
      </w:pPr>
      <w:r>
        <w:rPr>
          <w:rFonts w:ascii="Times New Roman"/>
          <w:b/>
          <w:i w:val="false"/>
          <w:color w:val="000000"/>
        </w:rPr>
        <w:t xml:space="preserve"> Субъективті критерийлері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9231"/>
        <w:gridCol w:w="975"/>
      </w:tblGrid>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Алдыңғы тексерулердің нәтижелері (ауырлық дәрежесі тексеру парақтарында көрсетілген заңнама талаптары сақталмаған жағдайда белгіленеді)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(пәтерлердің) меншік иелері жиналысының хаттамалық шешімімен мақұлданған сервистік қызмет субъектісімен жасалған шарттың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кондоминиум объектілерін тіркеудің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әрбір кондоминиум объектісіне жинақ шотының болуы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әрбір кондоминиум объектісіне ағымдағы шоттың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бойынша тоқсан сайынғы есептің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(пәтерлердің) меншік иелері кооперативі мүшелерінің жиналысы хаттамасымен бекітілген кондоминиум объектісінің ортақ мүлкін күтіп-ұстауға арналған шығыстар сметасының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мүлкінің орталықтан жылыту, сумен жабдықтау, су бұру, электрмен жабдықтау жүйелерінде ақаулардың болмауы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шартының үлгі нысанына сәйкес келетін кондоминиум объектісін басқару шартының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конструкциялары мен инженерлік жабдықтарының техникалық жай-күйіне жоспарлы тексеру жүргізу туралы растайтын құжаттардың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Жертөлелік үй-жайларда және кондоминиум объектісінің ортақ мүлкі орналасқан жерде дезинфекция, дезинсекция, дератизация бойынша жұмыстарды орындау туралы растайтын құжаттардың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көмегінің қатысумен қаржыландырылатын кондоминиум объектісінің ортақ мүлкін күрделі жөндеудің жекелеген түрлерін жүргізуге арналған шығыстар сметаларын тұрғын үй инспекцияларымен келісудің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(пәтерлердің) меншік иелерінің кооперативі басқармасы өкілеттігінің тексерілетін субъектінің жарғысында айқындалған мерзімдерді сақтауы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(пәтерлердің) меншік иелері жиналысы хаттамаларының Үй-жайлардың (пәтерлердің) меншік иелері жиналысының үлгілік хаттамасына сәйкестігі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Шағымдар мен өтініштердің болуы:</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 заңды тұлғалардан екі және одан көп расталған шағымның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 заңды тұлғадан бір расталған шағымның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 қағидаларын бұзушылықтарды жою бойынша орындалмаған нұсқаулардың болмауы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left"/>
      </w:pPr>
    </w:p>
    <w:p>
      <w:pPr>
        <w:spacing w:after="0"/>
        <w:ind w:left="0"/>
        <w:jc w:val="both"/>
      </w:pPr>
      <w:r>
        <w:rPr>
          <w:rFonts w:ascii="Times New Roman"/>
          <w:b w:val="false"/>
          <w:i w:val="false"/>
          <w:color w:val="000000"/>
          <w:sz w:val="28"/>
        </w:rPr>
        <w:t>
      * осы талап үй-жайлардың (пәтерлердің) меншік иелері жиналысының тұрғын үй көмегінің қатысумен қаржыландырылатын күрделі жөндеу жүргізу туралы хаттамалық шешімі болған кезде қолданылады</w:t>
      </w:r>
    </w:p>
    <w:p>
      <w:pPr>
        <w:spacing w:after="0"/>
        <w:ind w:left="0"/>
        <w:jc w:val="both"/>
      </w:pPr>
      <w:r>
        <w:rPr>
          <w:rFonts w:ascii="Times New Roman"/>
          <w:b w:val="false"/>
          <w:i w:val="false"/>
          <w:color w:val="000000"/>
          <w:sz w:val="28"/>
        </w:rPr>
        <w:t>
      ** осы талап кәсіпкерлік қызмет субъектілеріне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787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9"/>
    <w:p>
      <w:pPr>
        <w:spacing w:after="0"/>
        <w:ind w:left="0"/>
        <w:jc w:val="left"/>
      </w:pPr>
      <w:r>
        <w:rPr>
          <w:rFonts w:ascii="Times New Roman"/>
          <w:b/>
          <w:i w:val="false"/>
          <w:color w:val="000000"/>
        </w:rPr>
        <w:t xml:space="preserve"> Тұрғын үй қорын басқару саласындағы тексеру парағы</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 </w:t>
      </w:r>
      <w:r>
        <w:rPr>
          <w:rFonts w:ascii="Times New Roman"/>
          <w:b w:val="false"/>
          <w:i w:val="false"/>
          <w:color w:val="000000"/>
          <w:sz w:val="28"/>
        </w:rPr>
        <w:t>қатысты</w:t>
      </w:r>
    </w:p>
    <w:p>
      <w:pPr>
        <w:spacing w:after="0"/>
        <w:ind w:left="0"/>
        <w:jc w:val="both"/>
      </w:pPr>
      <w:r>
        <w:rPr>
          <w:rFonts w:ascii="Times New Roman"/>
          <w:b w:val="false"/>
          <w:i w:val="false"/>
          <w:color w:val="000000"/>
          <w:sz w:val="28"/>
        </w:rPr>
        <w:t>
      Тексеру тағайындаған мемлекеттік орган_______________________________</w:t>
      </w:r>
    </w:p>
    <w:p>
      <w:pPr>
        <w:spacing w:after="0"/>
        <w:ind w:left="0"/>
        <w:jc w:val="both"/>
      </w:pPr>
      <w:r>
        <w:rPr>
          <w:rFonts w:ascii="Times New Roman"/>
          <w:b w:val="false"/>
          <w:i w:val="false"/>
          <w:color w:val="000000"/>
          <w:sz w:val="28"/>
        </w:rPr>
        <w:t>
      Тексеру тағайындау туралы акт________________________________________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атауы_______________________________________</w:t>
      </w:r>
    </w:p>
    <w:p>
      <w:pPr>
        <w:spacing w:after="0"/>
        <w:ind w:left="0"/>
        <w:jc w:val="both"/>
      </w:pPr>
      <w:r>
        <w:rPr>
          <w:rFonts w:ascii="Times New Roman"/>
          <w:b w:val="false"/>
          <w:i w:val="false"/>
          <w:color w:val="000000"/>
          <w:sz w:val="28"/>
        </w:rPr>
        <w:t>
      Тексерілетін субъектінің (ЖСН), БСН__________________________________</w:t>
      </w:r>
    </w:p>
    <w:p>
      <w:pPr>
        <w:spacing w:after="0"/>
        <w:ind w:left="0"/>
        <w:jc w:val="both"/>
      </w:pPr>
      <w:r>
        <w:rPr>
          <w:rFonts w:ascii="Times New Roman"/>
          <w:b w:val="false"/>
          <w:i w:val="false"/>
          <w:color w:val="000000"/>
          <w:sz w:val="28"/>
        </w:rPr>
        <w:t>
      Орналасқан орнының мекенжайы (заңды мекенжайы)_______________________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605"/>
        <w:gridCol w:w="305"/>
        <w:gridCol w:w="305"/>
        <w:gridCol w:w="306"/>
        <w:gridCol w:w="306"/>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(пәтерлердің) меншік иелері жиналысының хаттамалық шешімімен мақұлданған сервистік қызмет субъектісімен шарттың болуы ("Тұрғын үй қатынастары туралы" Қазақстан Республикасының 1997 жылғы 16 сәуiрдегi </w:t>
            </w:r>
            <w:r>
              <w:rPr>
                <w:rFonts w:ascii="Times New Roman"/>
                <w:b w:val="false"/>
                <w:i w:val="false"/>
                <w:color w:val="000000"/>
                <w:sz w:val="20"/>
              </w:rPr>
              <w:t>Заңы</w:t>
            </w:r>
            <w:r>
              <w:rPr>
                <w:rFonts w:ascii="Times New Roman"/>
                <w:b w:val="false"/>
                <w:i w:val="false"/>
                <w:color w:val="000000"/>
                <w:sz w:val="20"/>
              </w:rPr>
              <w:t xml:space="preserve"> (бұдан әрі – Заң), Қазақстан Республикасы Ұлттық экономика министрінің 2015 жылғы 19 ақпандағы № 108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актілерінің мемлекеттік тіркеу тізілімінде № 10528 болып тіркелген Кондоминиум объектісінің ортақ мүлкін күтіп-ұстау қағидалары (бұдан әрі – Қағидалар)</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кондоминиум объектілерін тіркеудің болуы ("Тұрғын үй қатынастары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 мүшелерінің жалпы жиналысының хаттамасымен бекітілген кондоминиум объектісінің ортақ мүлкін күтіп-ұстауға арналған шығыстар сметасының болуы (Заң)</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әрбір кондоминиум объектісіне жинақ шотының болуы (Заң)</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әрбір кондоминиум объектісіне ағымдағы шоттың болуы (Заң)</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бойынша ай сайынғы есептің болуы (Заң, "Әкімшілік құқық бұзушылықтар туралы" Қазақстан Республикасының 2014 жылғы 5 шілдедегі </w:t>
            </w:r>
            <w:r>
              <w:rPr>
                <w:rFonts w:ascii="Times New Roman"/>
                <w:b w:val="false"/>
                <w:i w:val="false"/>
                <w:color w:val="000000"/>
                <w:sz w:val="20"/>
              </w:rPr>
              <w:t>Кодексі</w:t>
            </w:r>
            <w:r>
              <w:rPr>
                <w:rFonts w:ascii="Times New Roman"/>
                <w:b w:val="false"/>
                <w:i w:val="false"/>
                <w:color w:val="000000"/>
                <w:sz w:val="20"/>
              </w:rPr>
              <w:t>)</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кондоминиум объектісінің конструкциялары мен инженерлік жабдықтарының техникалық жай-күйіне жоспарлы тексеру жүргізу туралы растайтын құжаттардың болуы (Заң, Қағидалар)</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жертөлелік үй-жайларда және кондоминиум объектісінің ортақ мүлкі орналасқан жерде дезинфекция, дезинсекция, дератизация бойынша жұмыстарды орындау туралы растайтын құжаттардың болуы (Заң, Қағидалар)</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көмегінің қатысумен қаржыландырылатын кондоминиум объектісінің ортақ мүлкін күрделі жөндеудің жекелеген түрлерін жүргізуге арналған шығыстар сметаларын тұрғын үй инспекцияларымен келісудің болуы (Қағидалар)*</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(пәтерлердің) меншік иелерінің кооперативі басқармасы өкілеттігінің тексерілетін субъектінің жарғысында айқындалған мерзімдерді сақтауы (Заң)**</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мүлкінің орталықтан жылыту, сумен жабдықтау, су бұру, электрмен жабдықтау жүйелерінде ақаулардың болуы (Заң, Қағидалар)</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шартының үлгі нысанына сәйкес келетін кондоминиум объектісін басқару шартының болуы (Нормативтік құқықтық актілерінің мемлекеттік тіркеу тізілімінде № 10574 болып тіркелген, Қазақстан Республикасы Ұлттық экономика министрінің 2015 жылғы 20 наурыздағы № 242 </w:t>
            </w:r>
            <w:r>
              <w:rPr>
                <w:rFonts w:ascii="Times New Roman"/>
                <w:b w:val="false"/>
                <w:i w:val="false"/>
                <w:color w:val="000000"/>
                <w:sz w:val="20"/>
              </w:rPr>
              <w:t>бұйрығымен</w:t>
            </w:r>
            <w:r>
              <w:rPr>
                <w:rFonts w:ascii="Times New Roman"/>
                <w:b w:val="false"/>
                <w:i w:val="false"/>
                <w:color w:val="000000"/>
                <w:sz w:val="20"/>
              </w:rPr>
              <w:t xml:space="preserve"> бекітілген кондоминиум объектісін басқару шартының үлгі нысаны)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(пәтерлердің) меншік иелері жиналысы хаттамаларының Үй-жайлардың (пәтерлердің) иелері жиналысының үлгілік хаттамасына сәйкестігі (Заң, Нормативтік құқықтық актілерінің мемлекеттік тіркеу тізілімінде № 10573 болып тіркелген "Үй-жайлардың (пәтерлердің) меншік иелері жиналысы хаттамасының және үй-жайлардың (пәтерлердің) меншік иелеріне жазбаша сауалнама жүргізу кезінде дауыс беру парағының, кондоминиум объектісін басқару жөніндегі есептің үлгі нысандарын бекіту туралы" Қазақстан Республикасы Ұлттық экономика министрінің 2015 жылғы 20 наурыздағы № 243 </w:t>
            </w:r>
            <w:r>
              <w:rPr>
                <w:rFonts w:ascii="Times New Roman"/>
                <w:b w:val="false"/>
                <w:i w:val="false"/>
                <w:color w:val="000000"/>
                <w:sz w:val="20"/>
              </w:rPr>
              <w:t>бұйрығы</w:t>
            </w:r>
            <w:r>
              <w:rPr>
                <w:rFonts w:ascii="Times New Roman"/>
                <w:b w:val="false"/>
                <w:i w:val="false"/>
                <w:color w:val="000000"/>
                <w:sz w:val="20"/>
              </w:rPr>
              <w:t>)</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осы талап үй-жайлардың (пәтерлердің) меншік иелері жиналысының тұрғын үй көмегінің қатысумен қаржыландырылатын күрделі жөндеу жүргізу туралы хаттамалық шешімі болған кезде қолданылады</w:t>
      </w:r>
    </w:p>
    <w:p>
      <w:pPr>
        <w:spacing w:after="0"/>
        <w:ind w:left="0"/>
        <w:jc w:val="both"/>
      </w:pPr>
      <w:r>
        <w:rPr>
          <w:rFonts w:ascii="Times New Roman"/>
          <w:b w:val="false"/>
          <w:i w:val="false"/>
          <w:color w:val="000000"/>
          <w:sz w:val="28"/>
        </w:rPr>
        <w:t>
      ** осы талап кәсіпкерлік қызмет субъектілеріне қолданылмайды</w:t>
      </w:r>
    </w:p>
    <w:p>
      <w:pPr>
        <w:spacing w:after="0"/>
        <w:ind w:left="0"/>
        <w:jc w:val="both"/>
      </w:pPr>
      <w:r>
        <w:rPr>
          <w:rFonts w:ascii="Times New Roman"/>
          <w:b w:val="false"/>
          <w:i w:val="false"/>
          <w:color w:val="000000"/>
          <w:sz w:val="28"/>
        </w:rPr>
        <w:t>
      Лауазымдық тұлға (тұлғалар) ___________ _________ 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___________ _________ 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Тексерілетін субъектінің</w:t>
      </w:r>
    </w:p>
    <w:p>
      <w:pPr>
        <w:spacing w:after="0"/>
        <w:ind w:left="0"/>
        <w:jc w:val="both"/>
      </w:pPr>
      <w:r>
        <w:rPr>
          <w:rFonts w:ascii="Times New Roman"/>
          <w:b w:val="false"/>
          <w:i w:val="false"/>
          <w:color w:val="000000"/>
          <w:sz w:val="28"/>
        </w:rPr>
        <w:t>
      басшысы                    ___________ __________ 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