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a5c0" w14:textId="b91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20 тамыздағы № 5С-42-3 шешімі. Ақмола облысының Әділет департаментінде 2015 жылғы 17 қыркүйекте № 4977 болып тіркелді. Күші жойылды - Ақмола облысы Жақсы аудандық мәслихатының 2016 жылғы 26 сәуірдегі № 6С-2-7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аудандық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6С-2-7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Жақсы ауданының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08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08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