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d778" w14:textId="f15d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2014 жылғы 23 желтоқсандағы № 33-250 "Зеренді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2015 жылғы 30 қарашадағы № 42-348 шешімі. Ақмола облысының Әділет департаментінде 2015 жылғы 15 желтоқсанда № 5122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2015-2017 жылдарға арналған бюджеті туралы» 2014 жылғы 23 желтоқсандағы № 33-250 (Нормативтік құқықтық актілерді мемлекеттік тіркеу тізілімінде № 4552 тіркелген, 2015 жылғы 9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А.Балтабаева</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r>
        <w:br/>
      </w:r>
      <w:r>
        <w:rPr>
          <w:rFonts w:ascii="Times New Roman"/>
          <w:b w:val="false"/>
          <w:i w:val="false"/>
          <w:color w:val="000000"/>
          <w:sz w:val="28"/>
        </w:rPr>
        <w:t>
</w:t>
      </w:r>
      <w:r>
        <w:rPr>
          <w:rFonts w:ascii="Times New Roman"/>
          <w:b w:val="false"/>
          <w:i/>
          <w:color w:val="000000"/>
          <w:sz w:val="28"/>
        </w:rPr>
        <w:t>      2015 жылғы «30» 11</w:t>
      </w:r>
    </w:p>
    <w:bookmarkStart w:name="z5"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42-348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1 қосымша </w:t>
      </w:r>
    </w:p>
    <w:bookmarkStart w:name="z6" w:id="2"/>
    <w:p>
      <w:pPr>
        <w:spacing w:after="0"/>
        <w:ind w:left="0"/>
        <w:jc w:val="left"/>
      </w:pPr>
      <w:r>
        <w:rPr>
          <w:rFonts w:ascii="Times New Roman"/>
          <w:b/>
          <w:i w:val="false"/>
          <w:color w:val="000000"/>
        </w:rPr>
        <w:t xml:space="preserve"> 
2015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50"/>
        <w:gridCol w:w="792"/>
        <w:gridCol w:w="9000"/>
        <w:gridCol w:w="23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3629922,3</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1870493,0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681309,0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681309,0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973993,5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883184,0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179107,9</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80798,3</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81691,7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16181,9</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4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1688200,7</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1688200,7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92"/>
        <w:gridCol w:w="792"/>
        <w:gridCol w:w="9000"/>
        <w:gridCol w:w="23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3662835,3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323657,2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15059,0</w:t>
            </w:r>
          </w:p>
        </w:tc>
      </w:tr>
      <w:tr>
        <w:trPr>
          <w:trHeight w:val="9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r>
      <w:tr>
        <w:trPr>
          <w:trHeight w:val="10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182522,0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182522,0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9489,2</w:t>
            </w:r>
          </w:p>
        </w:tc>
      </w:tr>
      <w:tr>
        <w:trPr>
          <w:trHeight w:val="1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9489,2</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2635271,0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2619981,0</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2254962,0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170561,0</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жоғарғы көрсеткіштері үшін гранттарды табыс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62719,0</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7566,6</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147631,7</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143415,8</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21553,5</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71883,0</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43872,7</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35430,2</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кұрылыс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10916,3</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135264,0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98959,0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123016,0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аудандақ маңызы бар қала, кент, ауыл,ауылдық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ауылдық округтерде 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70524,0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12216,8</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12216,8</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өңерлерді экономикалық дамытуға жәрдемдесу бойынша шараларды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19395,1</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7323,8</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49445,2</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20218,8</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84456,2</w:t>
            </w:r>
          </w:p>
        </w:tc>
      </w:tr>
    </w:tbl>
    <w:bookmarkStart w:name="z7"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42-348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7 қосымша </w:t>
      </w:r>
    </w:p>
    <w:bookmarkStart w:name="z8" w:id="4"/>
    <w:p>
      <w:pPr>
        <w:spacing w:after="0"/>
        <w:ind w:left="0"/>
        <w:jc w:val="left"/>
      </w:pPr>
      <w:r>
        <w:rPr>
          <w:rFonts w:ascii="Times New Roman"/>
          <w:b/>
          <w:i w:val="false"/>
          <w:color w:val="000000"/>
        </w:rPr>
        <w:t xml:space="preserve"> 
2015 жылға кент, ауыл, ауылдық округтердің бюджеттік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5"/>
        <w:gridCol w:w="726"/>
        <w:gridCol w:w="8973"/>
        <w:gridCol w:w="2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11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13680,0</w:t>
            </w:r>
          </w:p>
        </w:tc>
      </w:tr>
      <w:tr>
        <w:trPr>
          <w:trHeight w:val="10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10073,0</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22350,0</w:t>
            </w:r>
          </w:p>
        </w:tc>
      </w:tr>
      <w:tr>
        <w:trPr>
          <w:trHeight w:val="10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0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10218,0</w:t>
            </w:r>
          </w:p>
        </w:tc>
      </w:tr>
      <w:tr>
        <w:trPr>
          <w:trHeight w:val="11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9487,0</w:t>
            </w:r>
          </w:p>
        </w:tc>
      </w:tr>
      <w:tr>
        <w:trPr>
          <w:trHeight w:val="11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10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r>
        <w:trPr>
          <w:trHeight w:val="10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w:t>
            </w:r>
          </w:p>
        </w:tc>
      </w:tr>
      <w:tr>
        <w:trPr>
          <w:trHeight w:val="10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8075,0</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10325,0</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p>
        </w:tc>
      </w:tr>
      <w:tr>
        <w:trPr>
          <w:trHeight w:val="8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0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9659,8</w:t>
            </w:r>
          </w:p>
        </w:tc>
      </w:tr>
      <w:tr>
        <w:trPr>
          <w:trHeight w:val="10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11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15207,0</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10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санитариясын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