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a4cd" w14:textId="f59a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жергілікті атқарушы органдары "Б" корпусы мемлекеттік әкімшілік қызметшілерінің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8 мамырдағы № 145 қаулысы. Ақтөбе облысының Әділет департаментінде 2015 жылғы 12 маусымда № 4354 болып тіркелді. Күші жойылды - Ақтөбе облысының әкімдігінің 2016 жылғы 19 қаңтардағы № 14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19.01.2016 </w:t>
      </w:r>
      <w:r>
        <w:rPr>
          <w:rFonts w:ascii="Times New Roman"/>
          <w:b w:val="false"/>
          <w:i w:val="false"/>
          <w:color w:val="ff0000"/>
          <w:sz w:val="28"/>
        </w:rPr>
        <w:t>№ 14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жергілікті атқарушы органдары "Б" корпусы мемлекеттік әкімшілік қызметшілерінің жыл сайынғы бағалау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 әкімі аппараты" мемлекеттік мекемесі осы қаулыны "Әділет" ақпараттық –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Ақтөбе облысы әкімі аппаратының басшысы К.В. Петровқа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өткеннең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2015 жылғы 8 мамырдағы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Ақтөбе облысының жергілікті атқарушы органдары "Б" корпусы мемлекеттік әкімшілік қызметшілерінің жыл сайынғы бағалау әдістемесі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Ақтөбе облысының жергілікті атқарушы органдары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бағалауынан;</w:t>
      </w:r>
      <w:r>
        <w:br/>
      </w:r>
      <w:r>
        <w:rPr>
          <w:rFonts w:ascii="Times New Roman"/>
          <w:b w:val="false"/>
          <w:i w:val="false"/>
          <w:color w:val="000000"/>
          <w:sz w:val="28"/>
        </w:rPr>
        <w:t>
      </w:t>
      </w:r>
      <w:r>
        <w:rPr>
          <w:rFonts w:ascii="Times New Roman"/>
          <w:b w:val="false"/>
          <w:i w:val="false"/>
          <w:color w:val="000000"/>
          <w:sz w:val="28"/>
        </w:rPr>
        <w:t>2) айналмалы бағалаудан (қызметшінің қарамағындағы немесе әріптестерінің бағалауы).</w:t>
      </w:r>
      <w:r>
        <w:br/>
      </w:r>
      <w:r>
        <w:rPr>
          <w:rFonts w:ascii="Times New Roman"/>
          <w:b w:val="false"/>
          <w:i w:val="false"/>
          <w:color w:val="000000"/>
          <w:sz w:val="28"/>
        </w:rPr>
        <w:t>
      Лауазымдық нұсқаулығына сәйкес өзі бағынатын тұлға қызметшінің тікелей басшысы болып табылады.</w:t>
      </w:r>
      <w:r>
        <w:br/>
      </w:r>
      <w:r>
        <w:rPr>
          <w:rFonts w:ascii="Times New Roman"/>
          <w:b w:val="false"/>
          <w:i w:val="false"/>
          <w:color w:val="000000"/>
          <w:sz w:val="28"/>
        </w:rPr>
        <w:t>
      Жергілікті бюджеттен қаржыланатын облыстық атқарушы органдар басшылары үшін бағалау облыс әкімі немесе оның уәкілеттік беруімен жетекшілік ететін бағыттар бойынша орынбасарларымен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қызметшілерді лауазымға тағайындау және лауазымнан босату құқығы бар тұлға құрады.</w:t>
      </w:r>
      <w:r>
        <w:br/>
      </w:r>
      <w:r>
        <w:rPr>
          <w:rFonts w:ascii="Times New Roman"/>
          <w:b w:val="false"/>
          <w:i w:val="false"/>
          <w:color w:val="000000"/>
          <w:sz w:val="28"/>
        </w:rPr>
        <w:t>
      </w:t>
      </w:r>
      <w:r>
        <w:rPr>
          <w:rFonts w:ascii="Times New Roman"/>
          <w:b w:val="false"/>
          <w:i w:val="false"/>
          <w:color w:val="000000"/>
          <w:sz w:val="28"/>
        </w:rPr>
        <w:t>9. Комиссия кем дегенде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xml:space="preserve">
      Облыстық атқарушы органдардың жергілікті бюджетті қаржыландыратын басшылары үшін облыс әкімінің бірінші орынбасары, ал қызметкерлер үшін – тиісті мемлекеттік органның басшысы комиссия төрағасы болып табылады. </w:t>
      </w:r>
      <w:r>
        <w:br/>
      </w:r>
      <w:r>
        <w:rPr>
          <w:rFonts w:ascii="Times New Roman"/>
          <w:b w:val="false"/>
          <w:i w:val="false"/>
          <w:color w:val="000000"/>
          <w:sz w:val="28"/>
        </w:rPr>
        <w:t>
      Мемлекеттік органның персоналды басқару қызметінің (кадр қызметінің) (бұдан әрі – персоналды басқару қызметі) қызметкері комиссия хатшысы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32"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r>
        <w:rPr>
          <w:rFonts w:ascii="Times New Roman"/>
          <w:b w:val="false"/>
          <w:i w:val="false"/>
          <w:color w:val="ff0000"/>
          <w:sz w:val="28"/>
        </w:rPr>
        <w:t xml:space="preserve">      Ескерту. 19 тармаққа өзгерістер енгізілді – Ақтөбе облысының әкімдігінің 20.07.2015 </w:t>
      </w:r>
      <w:r>
        <w:rPr>
          <w:rFonts w:ascii="Times New Roman"/>
          <w:b w:val="false"/>
          <w:i w:val="false"/>
          <w:color w:val="ff0000"/>
          <w:sz w:val="28"/>
        </w:rPr>
        <w:t>№ 270</w:t>
      </w:r>
      <w:r>
        <w:rPr>
          <w:rFonts w:ascii="Times New Roman"/>
          <w:b w:val="false"/>
          <w:i w:val="false"/>
          <w:color w:val="ff0000"/>
          <w:sz w:val="28"/>
        </w:rPr>
        <w:t xml:space="preserve"> қаулысымен (алғашқы ресми жарияланған күнінен кейін күнтізбелік он күн өткеннен соң қолданысқа енгізіледі).</w:t>
      </w:r>
      <w:r>
        <w:br/>
      </w:r>
      <w:r>
        <w:rPr>
          <w:rFonts w:ascii="Times New Roman"/>
          <w:b w:val="false"/>
          <w:i w:val="false"/>
          <w:color w:val="000000"/>
          <w:sz w:val="28"/>
        </w:rPr>
        <w:t>
</w:t>
      </w:r>
    </w:p>
    <w:bookmarkStart w:name="z35"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жергілікті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1-қосымша</w:t>
            </w:r>
          </w:p>
        </w:tc>
      </w:tr>
    </w:tbl>
    <w:bookmarkStart w:name="z53"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 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0"/>
        <w:gridCol w:w="375"/>
        <w:gridCol w:w="125"/>
        <w:gridCol w:w="3971"/>
        <w:gridCol w:w="1872"/>
        <w:gridCol w:w="7"/>
      </w:tblGrid>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 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 Т.А.Ә.) 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жергілікті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p>
        </w:tc>
      </w:tr>
    </w:tbl>
    <w:bookmarkStart w:name="z55"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жергілікті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3-қосымша</w:t>
            </w:r>
          </w:p>
        </w:tc>
      </w:tr>
    </w:tbl>
    <w:bookmarkStart w:name="z57" w:id="10"/>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 атауы)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____________________</w:t>
      </w:r>
      <w:r>
        <w:br/>
      </w:r>
      <w:r>
        <w:rPr>
          <w:rFonts w:ascii="Times New Roman"/>
          <w:b w:val="false"/>
          <w:i w:val="false"/>
          <w:color w:val="000000"/>
          <w:sz w:val="28"/>
        </w:rPr>
        <w:t>(Т.А.Ә., қолы)</w:t>
      </w:r>
      <w:r>
        <w:br/>
      </w:r>
      <w:r>
        <w:rPr>
          <w:rFonts w:ascii="Times New Roman"/>
          <w:b w:val="false"/>
          <w:i w:val="false"/>
          <w:color w:val="000000"/>
          <w:sz w:val="28"/>
        </w:rPr>
        <w:t>Комиссия төрағасы:_______________________ Күні: ____________________</w:t>
      </w:r>
      <w:r>
        <w:br/>
      </w:r>
      <w:r>
        <w:rPr>
          <w:rFonts w:ascii="Times New Roman"/>
          <w:b w:val="false"/>
          <w:i w:val="false"/>
          <w:color w:val="000000"/>
          <w:sz w:val="28"/>
        </w:rPr>
        <w:t>(Т.А.Ә., қолы)</w:t>
      </w:r>
      <w:r>
        <w:br/>
      </w:r>
      <w:r>
        <w:rPr>
          <w:rFonts w:ascii="Times New Roman"/>
          <w:b w:val="false"/>
          <w:i w:val="false"/>
          <w:color w:val="000000"/>
          <w:sz w:val="28"/>
        </w:rPr>
        <w:t>Комиссия мүшесі: ________________________ Күні: ____________________</w:t>
      </w:r>
      <w:r>
        <w:br/>
      </w:r>
      <w:r>
        <w:rPr>
          <w:rFonts w:ascii="Times New Roman"/>
          <w:b w:val="false"/>
          <w:i w:val="false"/>
          <w:color w:val="000000"/>
          <w:sz w:val="28"/>
        </w:rPr>
        <w:t>(Т.А.Ә.,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