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f6a4" w14:textId="078f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Суықсай ауылдық округінің Ащыбұлақ ауылындағы "Мектеп"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Суықсай ауылдық округі әкімінің 2015 жылғы 23 желтоқсандағы № 1 шешімі. Алматы облысы Әділет департаментінде 2015 жылы 30 желтоқсанда № 3666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ауданы Суықсай ауылдық округі Ащыбұлақ ауылы халқының пікірін ескере отырып, 2015 жылғы 25 қыркүйектегі Алматы облысы ономастикалық комиссиясының қорытындысы негізінде, Ақсу ауданы Суықсай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Суықсай ауылдық округінің Ащыбұлақ ауылындағы "Мектеп" көшесі "Дубек Бейсенбаев"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Ақсу ауданы әкімдігінің "Суықсай ауылдық округі әкімінің аппараты" мемлекетттік мекемесінің бас маман-іс жүргізушісі Камалиева Гульжан Камалиевнаға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