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702b" w14:textId="d837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Бірлік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04 маусымдағы № 117 қаулысы. Алматы облысы Әділет департаментінде 2015 жылы 07 шілдеде № 3257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Бірлік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4 маусымдағы "Балқаш ауданы Бірлік ауылдық округі әкімінің аппараты" мемлекеттік мекемесінің Ережесін бекіту туралы" № 117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Бірлік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Бірлік ауылдық округі әкімінің аппараты" мемлекеттік мекемесі Балқаш ауданы Бірлік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Бірлік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Бірлік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Бірлік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Бірлік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Бірлік ауылдық округі әкімінің аппараты" мемлекеттік мекемесі өз құзыретінің мәселелері бойынша заңнамада белгіленген тәртіппен Балқаш ауданы Бірлік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Бірлік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040308, Қазақстан Республикасы, Алматы облысы, Балқаш ауданы, Бірлік ауылы, Бөтешов көшесі, № 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Бірлік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Бірлік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Бірлік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Бірлік ауылдық округі әкімінің аппараты" мемлекеттік мекемесі кәсіпкерлік субъектілерімен "Балқаш ауданы Бірлік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Бірлік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Бірлік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Бірлік ауылдық округі әкімінің аппараты" мемлекеттік мекемесінің миссиясы: Балқаш ауданы Бірлік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Бірлік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Бірлік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Бірлік ауылдық округі әкімінің аппараты" мемлекеттік мекемесіне басшылықты "Балқаш ауданы Бірлік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Бірлік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Бірлік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Бірлік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Бірлік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Бірлік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Бірлік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Бірлік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Бірлік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"Балқаш ауданы Бірлік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Бірлік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Бірлік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Бірлік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Бірлік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"Балқаш ауданы Бірлік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Бірлік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