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2231" w14:textId="6e72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21 шілдедегі № 299 қаулысы. Алматы облысы Әділет департаментінде 2015 жылы 20 тамызда № 3348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 2011 жылғы 1 наурыздағы "Мемлекеттік мүлік туралы"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Райымбек ауданының "Кәсіпкерлік бөлімі" мемлекеттік мекемесінің басшысы Балтабаев Жұматай Балтағожаулына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21 шілдедегі Райымбек ауданының "Кәсіпкерлік бөлімі" мемлекеттік мекемесінің Ережесін бекіту туралы" № 299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ауданының "Кәсіпкерлік бөлімі" мемлекеттік мекеме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041400, Қазақстан Республикасы, Алматы облысы, Райымбек ауданы, Кеген ауылы Б. Момышұлы көшесі, № 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кәсiпкерлiк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2) мемлекеттің мүдделері мен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кәсiпкерлiктi қолдау және дамытудың мемлекеттік саясатын жүргізу; </w:t>
      </w:r>
      <w:r>
        <w:br/>
      </w:r>
      <w:r>
        <w:rPr>
          <w:rFonts w:ascii="Times New Roman"/>
          <w:b w:val="false"/>
          <w:i w:val="false"/>
          <w:color w:val="000000"/>
          <w:sz w:val="28"/>
        </w:rPr>
        <w:t>
      </w:t>
      </w:r>
      <w:r>
        <w:rPr>
          <w:rFonts w:ascii="Times New Roman"/>
          <w:b w:val="false"/>
          <w:i w:val="false"/>
          <w:color w:val="000000"/>
          <w:sz w:val="28"/>
        </w:rPr>
        <w:t xml:space="preserve">2) шағын және орта кәсіпкерлікті қолдау мен дамытудың мемлекеттік шараларының орындалуын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3) жеке кәсіпкерлік субъектілерін қаржыландыру және оларға кредит беру жөніндегі шараларды жетілдіру туралы ұсыныстар әзірлеу; </w:t>
      </w:r>
      <w:r>
        <w:br/>
      </w:r>
      <w:r>
        <w:rPr>
          <w:rFonts w:ascii="Times New Roman"/>
          <w:b w:val="false"/>
          <w:i w:val="false"/>
          <w:color w:val="000000"/>
          <w:sz w:val="28"/>
        </w:rPr>
        <w:t>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субъектілеріне әдіснамалық көмекті ұйымдастыру;</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