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7606" w14:textId="1c076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қорында таңбалар қолдану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қаңтардағы № 18-02/53 бұйрығы. Қазақстан Республикасының Әділет министрлігінде 2015 жылы 3 наурызда № 10359 тіркелді</w:t>
      </w:r>
    </w:p>
    <w:p>
      <w:pPr>
        <w:spacing w:after="0"/>
        <w:ind w:left="0"/>
        <w:jc w:val="both"/>
      </w:pPr>
      <w:bookmarkStart w:name="z5" w:id="0"/>
      <w:r>
        <w:rPr>
          <w:rFonts w:ascii="Times New Roman"/>
          <w:b w:val="false"/>
          <w:i w:val="false"/>
          <w:color w:val="000000"/>
          <w:sz w:val="28"/>
        </w:rPr>
        <w:t>  
      Қазақстан Республикасының 2003 жылғы 8 шілдедегі Орман кодексінің </w:t>
      </w:r>
      <w:r>
        <w:rPr>
          <w:rFonts w:ascii="Times New Roman"/>
          <w:b w:val="false"/>
          <w:i w:val="false"/>
          <w:color w:val="000000"/>
          <w:sz w:val="28"/>
        </w:rPr>
        <w:t>13-бабының</w:t>
      </w:r>
      <w:r>
        <w:rPr>
          <w:rFonts w:ascii="Times New Roman"/>
          <w:b w:val="false"/>
          <w:i w:val="false"/>
          <w:color w:val="000000"/>
          <w:sz w:val="28"/>
        </w:rPr>
        <w:t xml:space="preserve"> 1-тармағының 18-30)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орман қорында таңбалар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күннің ішінде оны мерзімдік басылымдар мен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Мамытбеков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30 қаңтардағы  </w:t>
      </w:r>
      <w:r>
        <w:br/>
      </w:r>
      <w:r>
        <w:rPr>
          <w:rFonts w:ascii="Times New Roman"/>
          <w:b w:val="false"/>
          <w:i w:val="false"/>
          <w:color w:val="000000"/>
          <w:sz w:val="28"/>
        </w:rPr>
        <w:t xml:space="preserve">
№ 18-02/53 бұйрығымен   </w:t>
      </w:r>
      <w:r>
        <w:br/>
      </w:r>
      <w:r>
        <w:rPr>
          <w:rFonts w:ascii="Times New Roman"/>
          <w:b w:val="false"/>
          <w:i w:val="false"/>
          <w:color w:val="000000"/>
          <w:sz w:val="28"/>
        </w:rPr>
        <w:t xml:space="preserve">
бекітілген        </w:t>
      </w:r>
    </w:p>
    <w:bookmarkEnd w:id="1"/>
    <w:bookmarkStart w:name="z14" w:id="2"/>
    <w:p>
      <w:pPr>
        <w:spacing w:after="0"/>
        <w:ind w:left="0"/>
        <w:jc w:val="left"/>
      </w:pPr>
      <w:r>
        <w:rPr>
          <w:rFonts w:ascii="Times New Roman"/>
          <w:b/>
          <w:i w:val="false"/>
          <w:color w:val="000000"/>
        </w:rPr>
        <w:t xml:space="preserve"> 
Мемлекеттік орман қорында таңбалар қолдану қағидалары 1. Жалпы ережелер</w:t>
      </w:r>
    </w:p>
    <w:bookmarkEnd w:id="2"/>
    <w:bookmarkStart w:name="z15" w:id="3"/>
    <w:p>
      <w:pPr>
        <w:spacing w:after="0"/>
        <w:ind w:left="0"/>
        <w:jc w:val="both"/>
      </w:pPr>
      <w:r>
        <w:rPr>
          <w:rFonts w:ascii="Times New Roman"/>
          <w:b w:val="false"/>
          <w:i w:val="false"/>
          <w:color w:val="000000"/>
          <w:sz w:val="28"/>
        </w:rPr>
        <w:t>
      1. Осы Мемлекеттік орман қорында таңбалар қолдану қағидалары (бұдан әрі – Қағидалар) Қазақстан Республикасының 2003 жылғы 8 шілдедегі Орман кодексінің </w:t>
      </w:r>
      <w:r>
        <w:rPr>
          <w:rFonts w:ascii="Times New Roman"/>
          <w:b w:val="false"/>
          <w:i w:val="false"/>
          <w:color w:val="000000"/>
          <w:sz w:val="28"/>
        </w:rPr>
        <w:t>13-бабының</w:t>
      </w:r>
      <w:r>
        <w:rPr>
          <w:rFonts w:ascii="Times New Roman"/>
          <w:b w:val="false"/>
          <w:i w:val="false"/>
          <w:color w:val="000000"/>
          <w:sz w:val="28"/>
        </w:rPr>
        <w:t xml:space="preserve"> 1-тармағының 18-30) тармақшасына сәйкес әзірленді және мемлекеттік орман қорында таңбалар қолдану тәртібін белгілейді.</w:t>
      </w:r>
      <w:r>
        <w:br/>
      </w:r>
      <w:r>
        <w:rPr>
          <w:rFonts w:ascii="Times New Roman"/>
          <w:b w:val="false"/>
          <w:i w:val="false"/>
          <w:color w:val="000000"/>
          <w:sz w:val="28"/>
        </w:rPr>
        <w:t>
</w:t>
      </w:r>
      <w:r>
        <w:rPr>
          <w:rFonts w:ascii="Times New Roman"/>
          <w:b w:val="false"/>
          <w:i w:val="false"/>
          <w:color w:val="000000"/>
          <w:sz w:val="28"/>
        </w:rPr>
        <w:t>
      2. Ағаштарды, сыпталған ағаштарды, кесінді ағаштарды және түбірлерді таңбалау кеспеағаш бөлуді, ағаш кесуді жүргізудің және ағаш босатудың дұрыстығын, ағаштың заңсыз кесілуінің тіркелуін бақылау мақсатында, сондай-ақ сүректі кеспеағаштан және жоғарғы қоймалардан тасып әкету кезінде оны есепке алу үшін жүргізіледі.</w:t>
      </w:r>
      <w:r>
        <w:br/>
      </w:r>
      <w:r>
        <w:rPr>
          <w:rFonts w:ascii="Times New Roman"/>
          <w:b w:val="false"/>
          <w:i w:val="false"/>
          <w:color w:val="000000"/>
          <w:sz w:val="28"/>
        </w:rPr>
        <w:t>
</w:t>
      </w:r>
      <w:r>
        <w:rPr>
          <w:rFonts w:ascii="Times New Roman"/>
          <w:b w:val="false"/>
          <w:i w:val="false"/>
          <w:color w:val="000000"/>
          <w:sz w:val="28"/>
        </w:rPr>
        <w:t>
      3. Мемлекеттік орман қорында таңбалардың үш нысандары қолданылады: босату, кесу және бақылау.</w:t>
      </w:r>
      <w:r>
        <w:br/>
      </w:r>
      <w:r>
        <w:rPr>
          <w:rFonts w:ascii="Times New Roman"/>
          <w:b w:val="false"/>
          <w:i w:val="false"/>
          <w:color w:val="000000"/>
          <w:sz w:val="28"/>
        </w:rPr>
        <w:t>
</w:t>
      </w:r>
      <w:r>
        <w:rPr>
          <w:rFonts w:ascii="Times New Roman"/>
          <w:b w:val="false"/>
          <w:i w:val="false"/>
          <w:color w:val="000000"/>
          <w:sz w:val="28"/>
        </w:rPr>
        <w:t>
      4. Мемлекеттік орман иеленушілер осы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металл балғаға бекітілетін дөңгелек қима тілімдегі бедерлі бейне түріндегі таңбаларды қолданады, бұл ретте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таңбаларда әріптік және сандық белгілері бар сериялық нөмірлер белгіленеді.</w:t>
      </w:r>
      <w:r>
        <w:br/>
      </w:r>
      <w:r>
        <w:rPr>
          <w:rFonts w:ascii="Times New Roman"/>
          <w:b w:val="false"/>
          <w:i w:val="false"/>
          <w:color w:val="000000"/>
          <w:sz w:val="28"/>
        </w:rPr>
        <w:t>
</w:t>
      </w:r>
      <w:r>
        <w:rPr>
          <w:rFonts w:ascii="Times New Roman"/>
          <w:b w:val="false"/>
          <w:i w:val="false"/>
          <w:color w:val="000000"/>
          <w:sz w:val="28"/>
        </w:rPr>
        <w:t>
      5. Таңбаларды орман шеберлеріне және орман күтушілерге беруді мемлекеттік орман иеленуші болып табылатын ұйымның басшысы жүргізеді, ол бұл орайда бедерлерді тіркеу және таңбалар беру журналына таңбалар бедерлерін басып, онда қол қойғызып алады. Бедерлерді тіркеу және таңбалар беру журналы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нысанға сәйкес жүргізіледі.</w:t>
      </w:r>
      <w:r>
        <w:br/>
      </w:r>
      <w:r>
        <w:rPr>
          <w:rFonts w:ascii="Times New Roman"/>
          <w:b w:val="false"/>
          <w:i w:val="false"/>
          <w:color w:val="000000"/>
          <w:sz w:val="28"/>
        </w:rPr>
        <w:t>
</w:t>
      </w:r>
      <w:r>
        <w:rPr>
          <w:rFonts w:ascii="Times New Roman"/>
          <w:b w:val="false"/>
          <w:i w:val="false"/>
          <w:color w:val="000000"/>
          <w:sz w:val="28"/>
        </w:rPr>
        <w:t>
      6. Таңбаларды мемлекеттік орман иеленуші болып табылатын ұйым басшысының жазбаша өкімінсіз (бұйрығынсыз) басқа тұлғаларға беруге жол берілмейді.</w:t>
      </w:r>
      <w:r>
        <w:br/>
      </w:r>
      <w:r>
        <w:rPr>
          <w:rFonts w:ascii="Times New Roman"/>
          <w:b w:val="false"/>
          <w:i w:val="false"/>
          <w:color w:val="000000"/>
          <w:sz w:val="28"/>
        </w:rPr>
        <w:t>
</w:t>
      </w:r>
      <w:r>
        <w:rPr>
          <w:rFonts w:ascii="Times New Roman"/>
          <w:b w:val="false"/>
          <w:i w:val="false"/>
          <w:color w:val="000000"/>
          <w:sz w:val="28"/>
        </w:rPr>
        <w:t>
      7. Таңбалар берілген қызметкер уақытша болмаған жағдайда осындай таңбалар мемлекеттік орман иеленуші болып табылатын ұйым басшысының жазбаша өкімі (бұйрығы) бойынша оны алмастыратын лауазымды адамға беріледі, бұл орайда осылайша беру актісімен ресімделіп, таңбаларды тіркеу журналына белгі қойылады.</w:t>
      </w:r>
    </w:p>
    <w:bookmarkEnd w:id="3"/>
    <w:bookmarkStart w:name="z22" w:id="4"/>
    <w:p>
      <w:pPr>
        <w:spacing w:after="0"/>
        <w:ind w:left="0"/>
        <w:jc w:val="left"/>
      </w:pPr>
      <w:r>
        <w:rPr>
          <w:rFonts w:ascii="Times New Roman"/>
          <w:b/>
          <w:i w:val="false"/>
          <w:color w:val="000000"/>
        </w:rPr>
        <w:t xml:space="preserve"> 
2. Таңбаларды қолдану тәртібі</w:t>
      </w:r>
    </w:p>
    <w:bookmarkEnd w:id="4"/>
    <w:bookmarkStart w:name="z23" w:id="5"/>
    <w:p>
      <w:pPr>
        <w:spacing w:after="0"/>
        <w:ind w:left="0"/>
        <w:jc w:val="both"/>
      </w:pPr>
      <w:r>
        <w:rPr>
          <w:rFonts w:ascii="Times New Roman"/>
          <w:b w:val="false"/>
          <w:i w:val="false"/>
          <w:color w:val="000000"/>
          <w:sz w:val="28"/>
        </w:rPr>
        <w:t>
      8. Босату таңбалары:</w:t>
      </w:r>
      <w:r>
        <w:br/>
      </w:r>
      <w:r>
        <w:rPr>
          <w:rFonts w:ascii="Times New Roman"/>
          <w:b w:val="false"/>
          <w:i w:val="false"/>
          <w:color w:val="000000"/>
          <w:sz w:val="28"/>
        </w:rPr>
        <w:t>
</w:t>
      </w:r>
      <w:r>
        <w:rPr>
          <w:rFonts w:ascii="Times New Roman"/>
          <w:b w:val="false"/>
          <w:i w:val="false"/>
          <w:color w:val="000000"/>
          <w:sz w:val="28"/>
        </w:rPr>
        <w:t xml:space="preserve">
      1) жаппай кеспеағаштарды кесуге және жаппай санитариялық кесуге босатудан басқа, кеспеағаштарды босату кезінде өсіп тұрған ағаштарды; </w:t>
      </w:r>
      <w:r>
        <w:br/>
      </w:r>
      <w:r>
        <w:rPr>
          <w:rFonts w:ascii="Times New Roman"/>
          <w:b w:val="false"/>
          <w:i w:val="false"/>
          <w:color w:val="000000"/>
          <w:sz w:val="28"/>
        </w:rPr>
        <w:t>
</w:t>
      </w:r>
      <w:r>
        <w:rPr>
          <w:rFonts w:ascii="Times New Roman"/>
          <w:b w:val="false"/>
          <w:i w:val="false"/>
          <w:color w:val="000000"/>
          <w:sz w:val="28"/>
        </w:rPr>
        <w:t>
      2) сыпталған ағаштарды, жоғарғы кесімде диаметрімен сегіз сантиметр және одан да жоғары кәделік сортименттер мен отындық сүректі тасып әкету кезінде оларды;</w:t>
      </w:r>
      <w:r>
        <w:br/>
      </w:r>
      <w:r>
        <w:rPr>
          <w:rFonts w:ascii="Times New Roman"/>
          <w:b w:val="false"/>
          <w:i w:val="false"/>
          <w:color w:val="000000"/>
          <w:sz w:val="28"/>
        </w:rPr>
        <w:t>
</w:t>
      </w:r>
      <w:r>
        <w:rPr>
          <w:rFonts w:ascii="Times New Roman"/>
          <w:b w:val="false"/>
          <w:i w:val="false"/>
          <w:color w:val="000000"/>
          <w:sz w:val="28"/>
        </w:rPr>
        <w:t>
      3) мемлекеттік орман қоры учаскелерінде сүрек дайындаудың мынадай түрлері ағаш кесу тәртібімен жүзеге асырылғанда диаметрімен он сантиметр және одан да жоғары қалған томарларды:</w:t>
      </w:r>
      <w:r>
        <w:br/>
      </w:r>
      <w:r>
        <w:rPr>
          <w:rFonts w:ascii="Times New Roman"/>
          <w:b w:val="false"/>
          <w:i w:val="false"/>
          <w:color w:val="000000"/>
          <w:sz w:val="28"/>
        </w:rPr>
        <w:t>
</w:t>
      </w:r>
      <w:r>
        <w:rPr>
          <w:rFonts w:ascii="Times New Roman"/>
          <w:b w:val="false"/>
          <w:i w:val="false"/>
          <w:color w:val="000000"/>
          <w:sz w:val="28"/>
        </w:rPr>
        <w:t>
      жаппай кеспеағаштарды кесуге босатудан басқа, толысқан және қураған сүрекдіндерде жүргізілетін, басты мақсатта кесу пайдаланғанда;</w:t>
      </w:r>
      <w:r>
        <w:br/>
      </w:r>
      <w:r>
        <w:rPr>
          <w:rFonts w:ascii="Times New Roman"/>
          <w:b w:val="false"/>
          <w:i w:val="false"/>
          <w:color w:val="000000"/>
          <w:sz w:val="28"/>
        </w:rPr>
        <w:t>
</w:t>
      </w:r>
      <w:r>
        <w:rPr>
          <w:rFonts w:ascii="Times New Roman"/>
          <w:b w:val="false"/>
          <w:i w:val="false"/>
          <w:color w:val="000000"/>
          <w:sz w:val="28"/>
        </w:rPr>
        <w:t>
      жарықтандыру мен тазартудан басқа, аралық мақсатта үшін пайдаланғанда;</w:t>
      </w:r>
      <w:r>
        <w:br/>
      </w:r>
      <w:r>
        <w:rPr>
          <w:rFonts w:ascii="Times New Roman"/>
          <w:b w:val="false"/>
          <w:i w:val="false"/>
          <w:color w:val="000000"/>
          <w:sz w:val="28"/>
        </w:rPr>
        <w:t>
</w:t>
      </w:r>
      <w:r>
        <w:rPr>
          <w:rFonts w:ascii="Times New Roman"/>
          <w:b w:val="false"/>
          <w:i w:val="false"/>
          <w:color w:val="000000"/>
          <w:sz w:val="28"/>
        </w:rPr>
        <w:t>
      жаппай санитариялық мақсатта кесуге босатудан басқа, өзге де мақсатта пайдаланғанда таңбалау үшін қолданылады.</w:t>
      </w:r>
      <w:r>
        <w:br/>
      </w:r>
      <w:r>
        <w:rPr>
          <w:rFonts w:ascii="Times New Roman"/>
          <w:b w:val="false"/>
          <w:i w:val="false"/>
          <w:color w:val="000000"/>
          <w:sz w:val="28"/>
        </w:rPr>
        <w:t>
</w:t>
      </w:r>
      <w:r>
        <w:rPr>
          <w:rFonts w:ascii="Times New Roman"/>
          <w:b w:val="false"/>
          <w:i w:val="false"/>
          <w:color w:val="000000"/>
          <w:sz w:val="28"/>
        </w:rPr>
        <w:t>
      9. Кесу таңбалары заңсыз кесілген ағаштардың томарларын, ағаштың заңсыз кесілуінен сондай-ақ ағаш кесілген жерде табылған заңсыз кесілген сүректі таңбалау үшін қолданылады.</w:t>
      </w:r>
      <w:r>
        <w:br/>
      </w:r>
      <w:r>
        <w:rPr>
          <w:rFonts w:ascii="Times New Roman"/>
          <w:b w:val="false"/>
          <w:i w:val="false"/>
          <w:color w:val="000000"/>
          <w:sz w:val="28"/>
        </w:rPr>
        <w:t>
</w:t>
      </w:r>
      <w:r>
        <w:rPr>
          <w:rFonts w:ascii="Times New Roman"/>
          <w:b w:val="false"/>
          <w:i w:val="false"/>
          <w:color w:val="000000"/>
          <w:sz w:val="28"/>
        </w:rPr>
        <w:t>
      10. Бақылау таңбалары орманды аралап ревизия жасау кезінде анықталған, орман шебері бұдан бұрын таңбалаған да, таңбаламаған да заңсыз кесілген ағаштардың томарларын таңбалау үшін қолданылады.</w:t>
      </w:r>
      <w:r>
        <w:br/>
      </w:r>
      <w:r>
        <w:rPr>
          <w:rFonts w:ascii="Times New Roman"/>
          <w:b w:val="false"/>
          <w:i w:val="false"/>
          <w:color w:val="000000"/>
          <w:sz w:val="28"/>
        </w:rPr>
        <w:t>
</w:t>
      </w:r>
      <w:r>
        <w:rPr>
          <w:rFonts w:ascii="Times New Roman"/>
          <w:b w:val="false"/>
          <w:i w:val="false"/>
          <w:color w:val="000000"/>
          <w:sz w:val="28"/>
        </w:rPr>
        <w:t>
      11. Таңбалау кезінде таңбаның бедерлі бейнесіне жағылатын суға төзімді бояғыш заттар пайдаланылады.</w:t>
      </w:r>
      <w:r>
        <w:br/>
      </w:r>
      <w:r>
        <w:rPr>
          <w:rFonts w:ascii="Times New Roman"/>
          <w:b w:val="false"/>
          <w:i w:val="false"/>
          <w:color w:val="000000"/>
          <w:sz w:val="28"/>
        </w:rPr>
        <w:t>
</w:t>
      </w:r>
      <w:r>
        <w:rPr>
          <w:rFonts w:ascii="Times New Roman"/>
          <w:b w:val="false"/>
          <w:i w:val="false"/>
          <w:color w:val="000000"/>
          <w:sz w:val="28"/>
        </w:rPr>
        <w:t>
      12. Таңбалар келесі нысандар бойынша қойылады:</w:t>
      </w:r>
      <w:r>
        <w:br/>
      </w:r>
      <w:r>
        <w:rPr>
          <w:rFonts w:ascii="Times New Roman"/>
          <w:b w:val="false"/>
          <w:i w:val="false"/>
          <w:color w:val="000000"/>
          <w:sz w:val="28"/>
        </w:rPr>
        <w:t>
</w:t>
      </w:r>
      <w:r>
        <w:rPr>
          <w:rFonts w:ascii="Times New Roman"/>
          <w:b w:val="false"/>
          <w:i w:val="false"/>
          <w:color w:val="000000"/>
          <w:sz w:val="28"/>
        </w:rPr>
        <w:t>
      1) босату таңбасы – өсіп тұрған ағаштарда діңнің тамырлы бөлігіне де (тамыр мойынына), шамаланған кесіндіден төмен терең түзу салынған белгіге (сүрекке), діңде, ағаш кеудесі деңгейінде де, ал шөпшектерде, дауылсұламада, желқұлатпада – тамыр мойнына;</w:t>
      </w:r>
      <w:r>
        <w:br/>
      </w:r>
      <w:r>
        <w:rPr>
          <w:rFonts w:ascii="Times New Roman"/>
          <w:b w:val="false"/>
          <w:i w:val="false"/>
          <w:color w:val="000000"/>
          <w:sz w:val="28"/>
        </w:rPr>
        <w:t>
</w:t>
      </w:r>
      <w:r>
        <w:rPr>
          <w:rFonts w:ascii="Times New Roman"/>
          <w:b w:val="false"/>
          <w:i w:val="false"/>
          <w:color w:val="000000"/>
          <w:sz w:val="28"/>
        </w:rPr>
        <w:t>
      2) кесу және бақылау таңбалары – томардың бетіне, сондай-ақ осы Қағидалардың 8-тармағының 2) тармақшасында көрсетілген сыпталған ағаштардың, кәделік сортименттердің және отындық сүректің кесілген жеріне қойылады.</w:t>
      </w:r>
    </w:p>
    <w:bookmarkEnd w:id="5"/>
    <w:bookmarkStart w:name="z4" w:id="6"/>
    <w:p>
      <w:pPr>
        <w:spacing w:after="0"/>
        <w:ind w:left="0"/>
        <w:jc w:val="both"/>
      </w:pPr>
      <w:r>
        <w:rPr>
          <w:rFonts w:ascii="Times New Roman"/>
          <w:b w:val="false"/>
          <w:i w:val="false"/>
          <w:color w:val="000000"/>
          <w:sz w:val="28"/>
        </w:rPr>
        <w:t xml:space="preserve">
Мемлекеттік орман қорында  </w:t>
      </w:r>
      <w:r>
        <w:br/>
      </w:r>
      <w:r>
        <w:rPr>
          <w:rFonts w:ascii="Times New Roman"/>
          <w:b w:val="false"/>
          <w:i w:val="false"/>
          <w:color w:val="000000"/>
          <w:sz w:val="28"/>
        </w:rPr>
        <w:t>
таңбалар қолдану қағидаларына</w:t>
      </w:r>
      <w:r>
        <w:br/>
      </w:r>
      <w:r>
        <w:rPr>
          <w:rFonts w:ascii="Times New Roman"/>
          <w:b w:val="false"/>
          <w:i w:val="false"/>
          <w:color w:val="000000"/>
          <w:sz w:val="28"/>
        </w:rPr>
        <w:t xml:space="preserve">
1-қосымша          </w:t>
      </w:r>
    </w:p>
    <w:bookmarkEnd w:id="6"/>
    <w:p>
      <w:pPr>
        <w:spacing w:after="0"/>
        <w:ind w:left="0"/>
        <w:jc w:val="left"/>
      </w:pPr>
      <w:r>
        <w:rPr>
          <w:rFonts w:ascii="Times New Roman"/>
          <w:b/>
          <w:i w:val="false"/>
          <w:color w:val="000000"/>
        </w:rPr>
        <w:t xml:space="preserve"> Орман шебері таңбасының нысандары</w:t>
      </w:r>
    </w:p>
    <w:tbl>
      <w:tblPr>
        <w:tblW w:w="0" w:type="auto"/>
        <w:tblCellSpacing w:w="0" w:type="auto"/>
        <w:tblBorders>
          <w:top w:val="none"/>
          <w:left w:val="none"/>
          <w:bottom w:val="none"/>
          <w:right w:val="none"/>
          <w:insideH w:val="none"/>
          <w:insideV w:val="none"/>
        </w:tblBorders>
      </w:tblPr>
      <w:tblGrid>
        <w:gridCol w:w="6477"/>
        <w:gridCol w:w="7123"/>
      </w:tblGrid>
      <w:tr>
        <w:trPr>
          <w:trHeight w:val="30" w:hRule="atLeast"/>
        </w:trPr>
        <w:tc>
          <w:tcPr>
            <w:tcW w:w="6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Босату таңбасы</w:t>
            </w:r>
          </w:p>
        </w:tc>
        <w:tc>
          <w:tcPr>
            <w:tcW w:w="7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 таңбасы</w:t>
            </w:r>
          </w:p>
        </w:tc>
      </w:tr>
      <w:tr>
        <w:trPr>
          <w:trHeight w:val="30" w:hRule="atLeast"/>
        </w:trPr>
        <w:tc>
          <w:tcPr>
            <w:tcW w:w="6477" w:type="dxa"/>
            <w:tcBorders/>
            <w:tcMar>
              <w:top w:w="15" w:type="dxa"/>
              <w:left w:w="15" w:type="dxa"/>
              <w:bottom w:w="15" w:type="dxa"/>
              <w:right w:w="15" w:type="dxa"/>
            </w:tcMar>
            <w:vAlign w:val="center"/>
          </w:tcPr>
          <w:p>
            <w:pPr>
              <w:spacing w:after="20"/>
              <w:ind w:left="20"/>
              <w:jc w:val="both"/>
            </w:pPr>
            <w:r>
              <w:drawing>
                <wp:inline distT="0" distB="0" distL="0" distR="0">
                  <wp:extent cx="3111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11500" cy="3111500"/>
                          </a:xfrm>
                          <a:prstGeom prst="rect">
                            <a:avLst/>
                          </a:prstGeom>
                        </pic:spPr>
                      </pic:pic>
                    </a:graphicData>
                  </a:graphic>
                </wp:inline>
              </w:drawing>
            </w:r>
          </w:p>
        </w:tc>
        <w:tc>
          <w:tcPr>
            <w:tcW w:w="7123" w:type="dxa"/>
            <w:tcBorders/>
            <w:tcMar>
              <w:top w:w="15" w:type="dxa"/>
              <w:left w:w="15" w:type="dxa"/>
              <w:bottom w:w="15" w:type="dxa"/>
              <w:right w:w="15" w:type="dxa"/>
            </w:tcMar>
            <w:vAlign w:val="center"/>
          </w:tcPr>
          <w:p>
            <w:pPr>
              <w:spacing w:after="20"/>
              <w:ind w:left="20"/>
              <w:jc w:val="both"/>
            </w:pPr>
            <w:r>
              <w:drawing>
                <wp:inline distT="0" distB="0" distL="0" distR="0">
                  <wp:extent cx="32639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263900" cy="3213100"/>
                          </a:xfrm>
                          <a:prstGeom prst="rect">
                            <a:avLst/>
                          </a:prstGeom>
                        </pic:spPr>
                      </pic:pic>
                    </a:graphicData>
                  </a:graphic>
                </wp:inline>
              </w:drawing>
            </w:r>
          </w:p>
        </w:tc>
      </w:tr>
      <w:tr>
        <w:trPr>
          <w:trHeight w:val="30" w:hRule="atLeast"/>
        </w:trPr>
        <w:tc>
          <w:tcPr>
            <w:tcW w:w="6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1-сурет</w:t>
            </w:r>
          </w:p>
        </w:tc>
        <w:tc>
          <w:tcPr>
            <w:tcW w:w="7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2-сурет</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Таңбаның мөлшері (мм)</w:t>
            </w:r>
          </w:p>
        </w:tc>
      </w:tr>
      <w:tr>
        <w:trPr>
          <w:trHeight w:val="30" w:hRule="atLeast"/>
        </w:trPr>
        <w:tc>
          <w:tcPr>
            <w:tcW w:w="6477" w:type="dxa"/>
            <w:tcBorders/>
            <w:tcMar>
              <w:top w:w="15" w:type="dxa"/>
              <w:left w:w="15" w:type="dxa"/>
              <w:bottom w:w="15" w:type="dxa"/>
              <w:right w:w="15" w:type="dxa"/>
            </w:tcMar>
            <w:vAlign w:val="center"/>
          </w:tcPr>
          <w:p>
            <w:pPr>
              <w:spacing w:after="20"/>
              <w:ind w:left="20"/>
              <w:jc w:val="both"/>
            </w:pPr>
            <w:r>
              <w:drawing>
                <wp:inline distT="0" distB="0" distL="0" distR="0">
                  <wp:extent cx="3365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65500" cy="3479800"/>
                          </a:xfrm>
                          <a:prstGeom prst="rect">
                            <a:avLst/>
                          </a:prstGeom>
                        </pic:spPr>
                      </pic:pic>
                    </a:graphicData>
                  </a:graphic>
                </wp:inline>
              </w:drawing>
            </w:r>
          </w:p>
        </w:tc>
        <w:tc>
          <w:tcPr>
            <w:tcW w:w="7123" w:type="dxa"/>
            <w:tcBorders/>
            <w:tcMar>
              <w:top w:w="15" w:type="dxa"/>
              <w:left w:w="15" w:type="dxa"/>
              <w:bottom w:w="15" w:type="dxa"/>
              <w:right w:w="15" w:type="dxa"/>
            </w:tcMar>
            <w:vAlign w:val="center"/>
          </w:tcPr>
          <w:p>
            <w:pPr>
              <w:spacing w:after="20"/>
              <w:ind w:left="20"/>
              <w:jc w:val="both"/>
            </w:pPr>
            <w:r>
              <w:drawing>
                <wp:inline distT="0" distB="0" distL="0" distR="0">
                  <wp:extent cx="36068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06800" cy="3441700"/>
                          </a:xfrm>
                          <a:prstGeom prst="rect">
                            <a:avLst/>
                          </a:prstGeom>
                        </pic:spPr>
                      </pic:pic>
                    </a:graphicData>
                  </a:graphic>
                </wp:inline>
              </w:drawing>
            </w:r>
          </w:p>
        </w:tc>
      </w:tr>
    </w:tbl>
    <w:bookmarkStart w:name="z3" w:id="7"/>
    <w:p>
      <w:pPr>
        <w:spacing w:after="0"/>
        <w:ind w:left="0"/>
        <w:jc w:val="both"/>
      </w:pPr>
      <w:r>
        <w:rPr>
          <w:rFonts w:ascii="Times New Roman"/>
          <w:b w:val="false"/>
          <w:i w:val="false"/>
          <w:color w:val="000000"/>
          <w:sz w:val="28"/>
        </w:rPr>
        <w:t xml:space="preserve">
Мемлекеттік орман қорында  </w:t>
      </w:r>
      <w:r>
        <w:br/>
      </w:r>
      <w:r>
        <w:rPr>
          <w:rFonts w:ascii="Times New Roman"/>
          <w:b w:val="false"/>
          <w:i w:val="false"/>
          <w:color w:val="000000"/>
          <w:sz w:val="28"/>
        </w:rPr>
        <w:t>
таңбалар қолдану қағидаларына</w:t>
      </w:r>
      <w:r>
        <w:br/>
      </w:r>
      <w:r>
        <w:rPr>
          <w:rFonts w:ascii="Times New Roman"/>
          <w:b w:val="false"/>
          <w:i w:val="false"/>
          <w:color w:val="000000"/>
          <w:sz w:val="28"/>
        </w:rPr>
        <w:t xml:space="preserve">
2-қосымша          </w:t>
      </w:r>
    </w:p>
    <w:bookmarkEnd w:id="7"/>
    <w:p>
      <w:pPr>
        <w:spacing w:after="0"/>
        <w:ind w:left="0"/>
        <w:jc w:val="left"/>
      </w:pPr>
      <w:r>
        <w:rPr>
          <w:rFonts w:ascii="Times New Roman"/>
          <w:b/>
          <w:i w:val="false"/>
          <w:color w:val="000000"/>
        </w:rPr>
        <w:t xml:space="preserve"> Орман күтуші таңбасының нысаны</w:t>
      </w:r>
    </w:p>
    <w:tbl>
      <w:tblPr>
        <w:tblW w:w="0" w:type="auto"/>
        <w:tblCellSpacing w:w="0" w:type="auto"/>
        <w:tblBorders>
          <w:top w:val="none"/>
          <w:left w:val="none"/>
          <w:bottom w:val="none"/>
          <w:right w:val="none"/>
          <w:insideH w:val="none"/>
          <w:insideV w:val="none"/>
        </w:tblBorders>
      </w:tblPr>
      <w:tblGrid>
        <w:gridCol w:w="6966"/>
        <w:gridCol w:w="6634"/>
      </w:tblGrid>
      <w:tr>
        <w:trPr>
          <w:trHeight w:val="30" w:hRule="atLeast"/>
        </w:trPr>
        <w:tc>
          <w:tcPr>
            <w:tcW w:w="6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Босату таңбасы</w:t>
            </w:r>
          </w:p>
        </w:tc>
        <w:tc>
          <w:tcPr>
            <w:tcW w:w="66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таңбасы</w:t>
            </w:r>
          </w:p>
        </w:tc>
      </w:tr>
      <w:tr>
        <w:trPr>
          <w:trHeight w:val="30" w:hRule="atLeast"/>
        </w:trPr>
        <w:tc>
          <w:tcPr>
            <w:tcW w:w="6966" w:type="dxa"/>
            <w:tcBorders/>
            <w:tcMar>
              <w:top w:w="15" w:type="dxa"/>
              <w:left w:w="15" w:type="dxa"/>
              <w:bottom w:w="15" w:type="dxa"/>
              <w:right w:w="15" w:type="dxa"/>
            </w:tcMar>
            <w:vAlign w:val="center"/>
          </w:tcPr>
          <w:p>
            <w:pPr>
              <w:spacing w:after="20"/>
              <w:ind w:left="20"/>
              <w:jc w:val="both"/>
            </w:pPr>
            <w:r>
              <w:drawing>
                <wp:inline distT="0" distB="0" distL="0" distR="0">
                  <wp:extent cx="34290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0" cy="3378200"/>
                          </a:xfrm>
                          <a:prstGeom prst="rect">
                            <a:avLst/>
                          </a:prstGeom>
                        </pic:spPr>
                      </pic:pic>
                    </a:graphicData>
                  </a:graphic>
                </wp:inline>
              </w:drawing>
            </w:r>
          </w:p>
        </w:tc>
        <w:tc>
          <w:tcPr>
            <w:tcW w:w="6634" w:type="dxa"/>
            <w:tcBorders/>
            <w:tcMar>
              <w:top w:w="15" w:type="dxa"/>
              <w:left w:w="15" w:type="dxa"/>
              <w:bottom w:w="15" w:type="dxa"/>
              <w:right w:w="15" w:type="dxa"/>
            </w:tcMar>
            <w:vAlign w:val="center"/>
          </w:tcPr>
          <w:p>
            <w:pPr>
              <w:spacing w:after="20"/>
              <w:ind w:left="20"/>
              <w:jc w:val="both"/>
            </w:pPr>
            <w:r>
              <w:drawing>
                <wp:inline distT="0" distB="0" distL="0" distR="0">
                  <wp:extent cx="34671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67100" cy="3390900"/>
                          </a:xfrm>
                          <a:prstGeom prst="rect">
                            <a:avLst/>
                          </a:prstGeom>
                        </pic:spPr>
                      </pic:pic>
                    </a:graphicData>
                  </a:graphic>
                </wp:inline>
              </w:drawing>
            </w:r>
          </w:p>
        </w:tc>
      </w:tr>
      <w:tr>
        <w:trPr>
          <w:trHeight w:val="30" w:hRule="atLeast"/>
        </w:trPr>
        <w:tc>
          <w:tcPr>
            <w:tcW w:w="6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1-сурет</w:t>
            </w:r>
          </w:p>
        </w:tc>
        <w:tc>
          <w:tcPr>
            <w:tcW w:w="66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2-сурет</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Таңбаның мөлшері</w:t>
            </w:r>
            <w:r>
              <w:br/>
            </w:r>
            <w:r>
              <w:rPr>
                <w:rFonts w:ascii="Times New Roman"/>
                <w:b w:val="false"/>
                <w:i w:val="false"/>
                <w:color w:val="000000"/>
                <w:sz w:val="20"/>
              </w:rPr>
              <w:t>
(мм)</w:t>
            </w:r>
          </w:p>
        </w:tc>
      </w:tr>
      <w:tr>
        <w:trPr>
          <w:trHeight w:val="30" w:hRule="atLeast"/>
        </w:trPr>
        <w:tc>
          <w:tcPr>
            <w:tcW w:w="6966" w:type="dxa"/>
            <w:tcBorders/>
            <w:tcMar>
              <w:top w:w="15" w:type="dxa"/>
              <w:left w:w="15" w:type="dxa"/>
              <w:bottom w:w="15" w:type="dxa"/>
              <w:right w:w="15" w:type="dxa"/>
            </w:tcMar>
            <w:vAlign w:val="center"/>
          </w:tcPr>
          <w:p>
            <w:pPr>
              <w:spacing w:after="20"/>
              <w:ind w:left="20"/>
              <w:jc w:val="both"/>
            </w:pPr>
            <w:r>
              <w:drawing>
                <wp:inline distT="0" distB="0" distL="0" distR="0">
                  <wp:extent cx="37719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771900" cy="3492500"/>
                          </a:xfrm>
                          <a:prstGeom prst="rect">
                            <a:avLst/>
                          </a:prstGeom>
                        </pic:spPr>
                      </pic:pic>
                    </a:graphicData>
                  </a:graphic>
                </wp:inline>
              </w:drawing>
            </w:r>
          </w:p>
        </w:tc>
        <w:tc>
          <w:tcPr>
            <w:tcW w:w="6634" w:type="dxa"/>
            <w:tcBorders/>
            <w:tcMar>
              <w:top w:w="15" w:type="dxa"/>
              <w:left w:w="15" w:type="dxa"/>
              <w:bottom w:w="15" w:type="dxa"/>
              <w:right w:w="15" w:type="dxa"/>
            </w:tcMar>
            <w:vAlign w:val="center"/>
          </w:tcPr>
          <w:p>
            <w:pPr>
              <w:spacing w:after="20"/>
              <w:ind w:left="20"/>
              <w:jc w:val="both"/>
            </w:pPr>
            <w:r>
              <w:drawing>
                <wp:inline distT="0" distB="0" distL="0" distR="0">
                  <wp:extent cx="32131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213100" cy="3543300"/>
                          </a:xfrm>
                          <a:prstGeom prst="rect">
                            <a:avLst/>
                          </a:prstGeom>
                        </pic:spPr>
                      </pic:pic>
                    </a:graphicData>
                  </a:graphic>
                </wp:inline>
              </w:drawing>
            </w:r>
          </w:p>
        </w:tc>
      </w:tr>
    </w:tbl>
    <w:p>
      <w:pPr>
        <w:spacing w:after="0"/>
        <w:ind w:left="0"/>
        <w:jc w:val="both"/>
      </w:pPr>
      <w:r>
        <w:rPr>
          <w:rFonts w:ascii="Times New Roman"/>
          <w:b w:val="false"/>
          <w:i w:val="false"/>
          <w:color w:val="000000"/>
          <w:sz w:val="28"/>
        </w:rPr>
        <w:t>      Ескерту: Шығып тұрған ернеулер Мемлекеттік орман қорында таңбалар қолдану қағидаларына 1 және 2-қосымшаларға сәйкес таңбаның бүкіл бедері бойынша ені 2 мм болуы тиіс.</w:t>
      </w:r>
    </w:p>
    <w:bookmarkStart w:name="z2" w:id="8"/>
    <w:p>
      <w:pPr>
        <w:spacing w:after="0"/>
        <w:ind w:left="0"/>
        <w:jc w:val="both"/>
      </w:pPr>
      <w:r>
        <w:rPr>
          <w:rFonts w:ascii="Times New Roman"/>
          <w:b w:val="false"/>
          <w:i w:val="false"/>
          <w:color w:val="000000"/>
          <w:sz w:val="28"/>
        </w:rPr>
        <w:t xml:space="preserve">
Мемлекеттік орман қорында  </w:t>
      </w:r>
      <w:r>
        <w:br/>
      </w:r>
      <w:r>
        <w:rPr>
          <w:rFonts w:ascii="Times New Roman"/>
          <w:b w:val="false"/>
          <w:i w:val="false"/>
          <w:color w:val="000000"/>
          <w:sz w:val="28"/>
        </w:rPr>
        <w:t>
таңбалар қолдану қағидаларына</w:t>
      </w:r>
      <w:r>
        <w:br/>
      </w:r>
      <w:r>
        <w:rPr>
          <w:rFonts w:ascii="Times New Roman"/>
          <w:b w:val="false"/>
          <w:i w:val="false"/>
          <w:color w:val="000000"/>
          <w:sz w:val="28"/>
        </w:rPr>
        <w:t xml:space="preserve">
3-қосымша          </w:t>
      </w:r>
    </w:p>
    <w:bookmarkEnd w:id="8"/>
    <w:p>
      <w:pPr>
        <w:spacing w:after="0"/>
        <w:ind w:left="0"/>
        <w:jc w:val="left"/>
      </w:pPr>
      <w:r>
        <w:rPr>
          <w:rFonts w:ascii="Times New Roman"/>
          <w:b/>
          <w:i w:val="false"/>
          <w:color w:val="000000"/>
        </w:rPr>
        <w:t xml:space="preserve"> Таңбалардың сериялық нөмірлерінің әріптік және сандық белгілері </w:t>
      </w:r>
    </w:p>
    <w:p>
      <w:pPr>
        <w:spacing w:after="0"/>
        <w:ind w:left="0"/>
        <w:jc w:val="both"/>
      </w:pPr>
      <w:r>
        <w:rPr>
          <w:rFonts w:ascii="Times New Roman"/>
          <w:b w:val="false"/>
          <w:i w:val="false"/>
          <w:color w:val="000000"/>
          <w:sz w:val="28"/>
        </w:rPr>
        <w:t>      1) Облыстар бойынша жергілікті атқарушы органдардың қарауындағы мемлекеттік орман иеленушілер үшін:</w:t>
      </w:r>
      <w:r>
        <w:br/>
      </w:r>
      <w:r>
        <w:rPr>
          <w:rFonts w:ascii="Times New Roman"/>
          <w:b w:val="false"/>
          <w:i w:val="false"/>
          <w:color w:val="000000"/>
          <w:sz w:val="28"/>
        </w:rPr>
        <w:t>
      Ақмола – АКМ 0001 және одан жоғары;</w:t>
      </w:r>
      <w:r>
        <w:br/>
      </w:r>
      <w:r>
        <w:rPr>
          <w:rFonts w:ascii="Times New Roman"/>
          <w:b w:val="false"/>
          <w:i w:val="false"/>
          <w:color w:val="000000"/>
          <w:sz w:val="28"/>
        </w:rPr>
        <w:t>
      Ақтөбе – АКТ 0001 және одан жоғары;</w:t>
      </w:r>
      <w:r>
        <w:br/>
      </w:r>
      <w:r>
        <w:rPr>
          <w:rFonts w:ascii="Times New Roman"/>
          <w:b w:val="false"/>
          <w:i w:val="false"/>
          <w:color w:val="000000"/>
          <w:sz w:val="28"/>
        </w:rPr>
        <w:t>
      Алматы – АЛМ 0001 және одан жоғары;</w:t>
      </w:r>
      <w:r>
        <w:br/>
      </w:r>
      <w:r>
        <w:rPr>
          <w:rFonts w:ascii="Times New Roman"/>
          <w:b w:val="false"/>
          <w:i w:val="false"/>
          <w:color w:val="000000"/>
          <w:sz w:val="28"/>
        </w:rPr>
        <w:t>
      Атырау – АТ 0001 және одан жоғары;</w:t>
      </w:r>
      <w:r>
        <w:br/>
      </w:r>
      <w:r>
        <w:rPr>
          <w:rFonts w:ascii="Times New Roman"/>
          <w:b w:val="false"/>
          <w:i w:val="false"/>
          <w:color w:val="000000"/>
          <w:sz w:val="28"/>
        </w:rPr>
        <w:t>
      Шығыс Қазақстан – ВК 0001 және одан жоғары;</w:t>
      </w:r>
      <w:r>
        <w:br/>
      </w:r>
      <w:r>
        <w:rPr>
          <w:rFonts w:ascii="Times New Roman"/>
          <w:b w:val="false"/>
          <w:i w:val="false"/>
          <w:color w:val="000000"/>
          <w:sz w:val="28"/>
        </w:rPr>
        <w:t>
      Жамбыл – ЖМ 0001 және одан жоғары;</w:t>
      </w:r>
      <w:r>
        <w:br/>
      </w:r>
      <w:r>
        <w:rPr>
          <w:rFonts w:ascii="Times New Roman"/>
          <w:b w:val="false"/>
          <w:i w:val="false"/>
          <w:color w:val="000000"/>
          <w:sz w:val="28"/>
        </w:rPr>
        <w:t>
      Батыс Қазақстан – ЗК 0001 және одан жоғары;</w:t>
      </w:r>
      <w:r>
        <w:br/>
      </w:r>
      <w:r>
        <w:rPr>
          <w:rFonts w:ascii="Times New Roman"/>
          <w:b w:val="false"/>
          <w:i w:val="false"/>
          <w:color w:val="000000"/>
          <w:sz w:val="28"/>
        </w:rPr>
        <w:t>
      Қарағанды – КР 0001 және одан жоғары;</w:t>
      </w:r>
      <w:r>
        <w:br/>
      </w:r>
      <w:r>
        <w:rPr>
          <w:rFonts w:ascii="Times New Roman"/>
          <w:b w:val="false"/>
          <w:i w:val="false"/>
          <w:color w:val="000000"/>
          <w:sz w:val="28"/>
        </w:rPr>
        <w:t>
      Қостанай – КС 0001 және одан жоғары;</w:t>
      </w:r>
      <w:r>
        <w:br/>
      </w:r>
      <w:r>
        <w:rPr>
          <w:rFonts w:ascii="Times New Roman"/>
          <w:b w:val="false"/>
          <w:i w:val="false"/>
          <w:color w:val="000000"/>
          <w:sz w:val="28"/>
        </w:rPr>
        <w:t>
      Қызылорда – КЗ 0001 және одан жоғары;</w:t>
      </w:r>
      <w:r>
        <w:br/>
      </w:r>
      <w:r>
        <w:rPr>
          <w:rFonts w:ascii="Times New Roman"/>
          <w:b w:val="false"/>
          <w:i w:val="false"/>
          <w:color w:val="000000"/>
          <w:sz w:val="28"/>
        </w:rPr>
        <w:t>
      Маңғыстау – МН 0001 және одан жоғары;</w:t>
      </w:r>
      <w:r>
        <w:br/>
      </w:r>
      <w:r>
        <w:rPr>
          <w:rFonts w:ascii="Times New Roman"/>
          <w:b w:val="false"/>
          <w:i w:val="false"/>
          <w:color w:val="000000"/>
          <w:sz w:val="28"/>
        </w:rPr>
        <w:t>
      Павлодар – ПВ 0001 және одан жоғары;</w:t>
      </w:r>
      <w:r>
        <w:br/>
      </w:r>
      <w:r>
        <w:rPr>
          <w:rFonts w:ascii="Times New Roman"/>
          <w:b w:val="false"/>
          <w:i w:val="false"/>
          <w:color w:val="000000"/>
          <w:sz w:val="28"/>
        </w:rPr>
        <w:t>
      Солтүстік Қазақстан – СК 0001 және одан жоғары;</w:t>
      </w:r>
      <w:r>
        <w:br/>
      </w:r>
      <w:r>
        <w:rPr>
          <w:rFonts w:ascii="Times New Roman"/>
          <w:b w:val="false"/>
          <w:i w:val="false"/>
          <w:color w:val="000000"/>
          <w:sz w:val="28"/>
        </w:rPr>
        <w:t>
      Оңтүстік Қазақстан – ЮК 0001 және одан жоғары.</w:t>
      </w:r>
      <w:r>
        <w:br/>
      </w:r>
      <w:r>
        <w:rPr>
          <w:rFonts w:ascii="Times New Roman"/>
          <w:b w:val="false"/>
          <w:i w:val="false"/>
          <w:color w:val="000000"/>
          <w:sz w:val="28"/>
        </w:rPr>
        <w:t>
      2) Облыстар бойынша орман шаруашылығы саласындағы уәкілетті органның қарауындағы мемлекеттік орман иеленушілер үшін:</w:t>
      </w:r>
      <w:r>
        <w:br/>
      </w:r>
      <w:r>
        <w:rPr>
          <w:rFonts w:ascii="Times New Roman"/>
          <w:b w:val="false"/>
          <w:i w:val="false"/>
          <w:color w:val="000000"/>
          <w:sz w:val="28"/>
        </w:rPr>
        <w:t>
      Ақмола – АКМО 0001 және одан жоғары;</w:t>
      </w:r>
      <w:r>
        <w:br/>
      </w:r>
      <w:r>
        <w:rPr>
          <w:rFonts w:ascii="Times New Roman"/>
          <w:b w:val="false"/>
          <w:i w:val="false"/>
          <w:color w:val="000000"/>
          <w:sz w:val="28"/>
        </w:rPr>
        <w:t>
      Ақтөбе – АКТО 0001 және одан жоғары;</w:t>
      </w:r>
      <w:r>
        <w:br/>
      </w:r>
      <w:r>
        <w:rPr>
          <w:rFonts w:ascii="Times New Roman"/>
          <w:b w:val="false"/>
          <w:i w:val="false"/>
          <w:color w:val="000000"/>
          <w:sz w:val="28"/>
        </w:rPr>
        <w:t>
      Алматы – АЛМО 0001 және одан жоғары;</w:t>
      </w:r>
      <w:r>
        <w:br/>
      </w:r>
      <w:r>
        <w:rPr>
          <w:rFonts w:ascii="Times New Roman"/>
          <w:b w:val="false"/>
          <w:i w:val="false"/>
          <w:color w:val="000000"/>
          <w:sz w:val="28"/>
        </w:rPr>
        <w:t>
      Атырау – АТО 0001 және одан жоғары;</w:t>
      </w:r>
      <w:r>
        <w:br/>
      </w:r>
      <w:r>
        <w:rPr>
          <w:rFonts w:ascii="Times New Roman"/>
          <w:b w:val="false"/>
          <w:i w:val="false"/>
          <w:color w:val="000000"/>
          <w:sz w:val="28"/>
        </w:rPr>
        <w:t>
      Шығыс Қазақстан – ВКО 0001 және одан жоғары;</w:t>
      </w:r>
      <w:r>
        <w:br/>
      </w:r>
      <w:r>
        <w:rPr>
          <w:rFonts w:ascii="Times New Roman"/>
          <w:b w:val="false"/>
          <w:i w:val="false"/>
          <w:color w:val="000000"/>
          <w:sz w:val="28"/>
        </w:rPr>
        <w:t>
      Жамбыл – ЖМО 0001 және одан жоғары;</w:t>
      </w:r>
      <w:r>
        <w:br/>
      </w:r>
      <w:r>
        <w:rPr>
          <w:rFonts w:ascii="Times New Roman"/>
          <w:b w:val="false"/>
          <w:i w:val="false"/>
          <w:color w:val="000000"/>
          <w:sz w:val="28"/>
        </w:rPr>
        <w:t>
      Батыс Қазақстан – ЗКО 0001 және одан жоғары;</w:t>
      </w:r>
      <w:r>
        <w:br/>
      </w:r>
      <w:r>
        <w:rPr>
          <w:rFonts w:ascii="Times New Roman"/>
          <w:b w:val="false"/>
          <w:i w:val="false"/>
          <w:color w:val="000000"/>
          <w:sz w:val="28"/>
        </w:rPr>
        <w:t>
      Қарағанды – КРО 0001 және одан жоғары;</w:t>
      </w:r>
      <w:r>
        <w:br/>
      </w:r>
      <w:r>
        <w:rPr>
          <w:rFonts w:ascii="Times New Roman"/>
          <w:b w:val="false"/>
          <w:i w:val="false"/>
          <w:color w:val="000000"/>
          <w:sz w:val="28"/>
        </w:rPr>
        <w:t>
      Қостанай – КСО 0001 және одан жоғары;</w:t>
      </w:r>
      <w:r>
        <w:br/>
      </w:r>
      <w:r>
        <w:rPr>
          <w:rFonts w:ascii="Times New Roman"/>
          <w:b w:val="false"/>
          <w:i w:val="false"/>
          <w:color w:val="000000"/>
          <w:sz w:val="28"/>
        </w:rPr>
        <w:t>
      Қызылорда – КЗО 0001 және одан жоғары;</w:t>
      </w:r>
      <w:r>
        <w:br/>
      </w:r>
      <w:r>
        <w:rPr>
          <w:rFonts w:ascii="Times New Roman"/>
          <w:b w:val="false"/>
          <w:i w:val="false"/>
          <w:color w:val="000000"/>
          <w:sz w:val="28"/>
        </w:rPr>
        <w:t>
      Маңғыстау – МНО 0001 және одан жоғары;</w:t>
      </w:r>
      <w:r>
        <w:br/>
      </w:r>
      <w:r>
        <w:rPr>
          <w:rFonts w:ascii="Times New Roman"/>
          <w:b w:val="false"/>
          <w:i w:val="false"/>
          <w:color w:val="000000"/>
          <w:sz w:val="28"/>
        </w:rPr>
        <w:t>
      Павлодар – ПВО 0001 және одан жоғары;</w:t>
      </w:r>
      <w:r>
        <w:br/>
      </w:r>
      <w:r>
        <w:rPr>
          <w:rFonts w:ascii="Times New Roman"/>
          <w:b w:val="false"/>
          <w:i w:val="false"/>
          <w:color w:val="000000"/>
          <w:sz w:val="28"/>
        </w:rPr>
        <w:t>
      Солтүстік Қазақстан – СКО 0001 және одан жоғары;</w:t>
      </w:r>
      <w:r>
        <w:br/>
      </w:r>
      <w:r>
        <w:rPr>
          <w:rFonts w:ascii="Times New Roman"/>
          <w:b w:val="false"/>
          <w:i w:val="false"/>
          <w:color w:val="000000"/>
          <w:sz w:val="28"/>
        </w:rPr>
        <w:t>
      Оңтүстік Қазақстан – ЮКО 0001 және одан жоғары.</w:t>
      </w:r>
      <w:r>
        <w:br/>
      </w:r>
      <w:r>
        <w:rPr>
          <w:rFonts w:ascii="Times New Roman"/>
          <w:b w:val="false"/>
          <w:i w:val="false"/>
          <w:color w:val="000000"/>
          <w:sz w:val="28"/>
        </w:rPr>
        <w:t>
      3) Мемлекеттік орман қоры учаскелері тұрақты жер пайдалану құқығымен берілген басқа мемлекеттік ұйымдар үшін – Мемлекеттік орман қорында таңбалар қолдану қағидаларына 3-қосымшаның 1) тармақшасында көрсетілген әріптік белгілер, олардың соңына тиісінше облыстарға «П» әрпі қосып жазылады, ал сандық белгілер 001-ден бастап және одан жоғары.</w:t>
      </w:r>
    </w:p>
    <w:bookmarkStart w:name="z1" w:id="9"/>
    <w:p>
      <w:pPr>
        <w:spacing w:after="0"/>
        <w:ind w:left="0"/>
        <w:jc w:val="both"/>
      </w:pPr>
      <w:r>
        <w:rPr>
          <w:rFonts w:ascii="Times New Roman"/>
          <w:b w:val="false"/>
          <w:i w:val="false"/>
          <w:color w:val="000000"/>
          <w:sz w:val="28"/>
        </w:rPr>
        <w:t xml:space="preserve">
Мемлекеттік орман қорында  </w:t>
      </w:r>
      <w:r>
        <w:br/>
      </w:r>
      <w:r>
        <w:rPr>
          <w:rFonts w:ascii="Times New Roman"/>
          <w:b w:val="false"/>
          <w:i w:val="false"/>
          <w:color w:val="000000"/>
          <w:sz w:val="28"/>
        </w:rPr>
        <w:t>
таңбалар қолдану қағидаларына</w:t>
      </w:r>
      <w:r>
        <w:br/>
      </w:r>
      <w:r>
        <w:rPr>
          <w:rFonts w:ascii="Times New Roman"/>
          <w:b w:val="false"/>
          <w:i w:val="false"/>
          <w:color w:val="000000"/>
          <w:sz w:val="28"/>
        </w:rPr>
        <w:t xml:space="preserve">
4-қосымша          </w:t>
      </w:r>
    </w:p>
    <w:bookmarkEnd w:id="9"/>
    <w:p>
      <w:pPr>
        <w:spacing w:after="0"/>
        <w:ind w:left="0"/>
        <w:jc w:val="left"/>
      </w:pPr>
      <w:r>
        <w:rPr>
          <w:rFonts w:ascii="Times New Roman"/>
          <w:b/>
          <w:i w:val="false"/>
          <w:color w:val="000000"/>
        </w:rPr>
        <w:t xml:space="preserve"> Бедерлерді тіркеу және таңбалар беру</w:t>
      </w:r>
      <w:r>
        <w:br/>
      </w:r>
      <w:r>
        <w:rPr>
          <w:rFonts w:ascii="Times New Roman"/>
          <w:b/>
          <w:i w:val="false"/>
          <w:color w:val="000000"/>
        </w:rPr>
        <w:t>
журналы</w:t>
      </w:r>
      <w:r>
        <w:br/>
      </w:r>
      <w:r>
        <w:rPr>
          <w:rFonts w:ascii="Times New Roman"/>
          <w:b/>
          <w:i w:val="false"/>
          <w:color w:val="000000"/>
        </w:rPr>
        <w:t>
____________________________________</w:t>
      </w:r>
      <w:r>
        <w:br/>
      </w:r>
      <w:r>
        <w:rPr>
          <w:rFonts w:ascii="Times New Roman"/>
          <w:b/>
          <w:i w:val="false"/>
          <w:color w:val="000000"/>
        </w:rPr>
        <w:t>
(орман иеленушінің атауы)</w:t>
      </w:r>
    </w:p>
    <w:p>
      <w:pPr>
        <w:spacing w:after="0"/>
        <w:ind w:left="0"/>
        <w:jc w:val="both"/>
      </w:pPr>
      <w:r>
        <w:rPr>
          <w:rFonts w:ascii="Times New Roman"/>
          <w:b w:val="false"/>
          <w:i w:val="false"/>
          <w:color w:val="000000"/>
          <w:sz w:val="28"/>
        </w:rPr>
        <w:t>      Басталған күні _____________ жыл</w:t>
      </w:r>
      <w:r>
        <w:br/>
      </w:r>
      <w:r>
        <w:rPr>
          <w:rFonts w:ascii="Times New Roman"/>
          <w:b w:val="false"/>
          <w:i w:val="false"/>
          <w:color w:val="000000"/>
          <w:sz w:val="28"/>
        </w:rPr>
        <w:t>
      Аяқталған күні _____________ жыл</w:t>
      </w:r>
      <w:r>
        <w:br/>
      </w:r>
      <w:r>
        <w:rPr>
          <w:rFonts w:ascii="Times New Roman"/>
          <w:b w:val="false"/>
          <w:i w:val="false"/>
          <w:color w:val="000000"/>
          <w:sz w:val="28"/>
        </w:rPr>
        <w:t>
      Сақталу мерзімі ____________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1712"/>
        <w:gridCol w:w="1242"/>
        <w:gridCol w:w="1242"/>
        <w:gridCol w:w="2118"/>
        <w:gridCol w:w="2483"/>
        <w:gridCol w:w="2895"/>
        <w:gridCol w:w="1399"/>
      </w:tblGrid>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Таңбаның атауы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Таңбаның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Сериялық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қағидаларымен танысқан және алған адамның Т.Ә.Ж., лауазымы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қолы</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