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d8be" w14:textId="214d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Сарысу ауданы әкімдігінің 2014 жылғы 30 желтоқсандағы №343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2015 жылғы 18 қыркүйектегі № 229 қаулысы. Жамбыл облысының Әділет департаментінде 2015 жылғы 23 қазанда № 2810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"Қоғамдық жұмыстарды ұйымдастыру мен қаржыландырудың ережесiне"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қоғамдық жұмыстарды ұйымдастыру туралы" Сарысу ауданы әкімдігінің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2482 болып тіркелген, 2015 жылғы 14 ақпандағы № 13 аудандық "Сарысу"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қатысушылардың еңбегіне төленетін ақының мөлшері және оларды қаржыландыру көздері бағанасындағы "50 000" деген сандар "32 046"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Көкей Олжас Тұрғынұлына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 және 2015 жылдың 1 қыркүйегінен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Сарысу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_______________Қ. Қапаров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қыркүйек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Жамбыл облысы Жаңатас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біріктірілген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Е. 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қыркүйек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