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352e" w14:textId="2193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"Новодолинский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12 маусымдағы № 23/7 қаулысы. Қарағанды облысының Әділет департаментінде 2015 жылғы 22 шілдеде № 3342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Қоса берілген "Новодолинский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"Новодолинский кенті әкімінің аппараты" мемлекеттік мекемесінің ережесі</w:t>
      </w:r>
    </w:p>
    <w:bookmarkEnd w:id="0"/>
    <w:bookmarkStart w:name="z8"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"Новодолинский кенті әкімінің аппараты" мемлекеттік мекемесі (бұдан әрі – мемлекеттік мекеме) Новодолинский кенті әкiмнiң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101605, Қарағанды облысы, Шахтинск қаласы, Новодолинский кенті, Центральная көшесі, 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"Новодолинский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поселка Новодолинский".</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әкімі ақпараттық – талдау, құқықтық, ұйымдастырушылық, хаттамалық және материалдық – техникалық қызметтерін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жұмысын зерделеу және талдау;</w:t>
      </w:r>
      <w:r>
        <w:br/>
      </w:r>
      <w:r>
        <w:rPr>
          <w:rFonts w:ascii="Times New Roman"/>
          <w:b w:val="false"/>
          <w:i w:val="false"/>
          <w:color w:val="000000"/>
          <w:sz w:val="28"/>
        </w:rPr>
        <w:t xml:space="preserve">
      2) </w:t>
      </w:r>
      <w:r>
        <w:rPr>
          <w:rFonts w:ascii="Times New Roman"/>
          <w:b w:val="false"/>
          <w:i w:val="false"/>
          <w:color w:val="000000"/>
          <w:sz w:val="28"/>
        </w:rPr>
        <w:t>әкімінің қызметін бұқаралық ақпарат құралдарында жариялау;</w:t>
      </w:r>
      <w:r>
        <w:br/>
      </w:r>
      <w:r>
        <w:rPr>
          <w:rFonts w:ascii="Times New Roman"/>
          <w:b w:val="false"/>
          <w:i w:val="false"/>
          <w:color w:val="000000"/>
          <w:sz w:val="28"/>
        </w:rPr>
        <w:t xml:space="preserve">
      3) </w:t>
      </w:r>
      <w:r>
        <w:rPr>
          <w:rFonts w:ascii="Times New Roman"/>
          <w:b w:val="false"/>
          <w:i w:val="false"/>
          <w:color w:val="000000"/>
          <w:sz w:val="28"/>
        </w:rPr>
        <w:t>әкімнің шешімдері мен өкімдерінің, әкімдік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жұмысын жоспарлау, кеңестерді, семинарларды және өзге де іс-шараларды өткізуге дайындық жүргізуді және өткізуді ұйымдастыру;</w:t>
      </w:r>
      <w:r>
        <w:br/>
      </w:r>
      <w:r>
        <w:rPr>
          <w:rFonts w:ascii="Times New Roman"/>
          <w:b w:val="false"/>
          <w:i w:val="false"/>
          <w:color w:val="000000"/>
          <w:sz w:val="28"/>
        </w:rPr>
        <w:t xml:space="preserve">
      5) </w:t>
      </w:r>
      <w:r>
        <w:rPr>
          <w:rFonts w:ascii="Times New Roman"/>
          <w:b w:val="false"/>
          <w:i w:val="false"/>
          <w:color w:val="000000"/>
          <w:sz w:val="28"/>
        </w:rPr>
        <w:t>мемлекеттік тілді қолдану аясын кеңейтуге бағытталған шараларды қолдану;</w:t>
      </w:r>
      <w:r>
        <w:br/>
      </w:r>
      <w:r>
        <w:rPr>
          <w:rFonts w:ascii="Times New Roman"/>
          <w:b w:val="false"/>
          <w:i w:val="false"/>
          <w:color w:val="000000"/>
          <w:sz w:val="28"/>
        </w:rPr>
        <w:t xml:space="preserve">
      6) </w:t>
      </w:r>
      <w:r>
        <w:rPr>
          <w:rFonts w:ascii="Times New Roman"/>
          <w:b w:val="false"/>
          <w:i w:val="false"/>
          <w:color w:val="000000"/>
          <w:sz w:val="28"/>
        </w:rPr>
        <w:t>өтініштерді қарау және заңмен белгіленген тәртіпте жауаптар дайындау;</w:t>
      </w:r>
      <w:r>
        <w:br/>
      </w:r>
      <w:r>
        <w:rPr>
          <w:rFonts w:ascii="Times New Roman"/>
          <w:b w:val="false"/>
          <w:i w:val="false"/>
          <w:color w:val="000000"/>
          <w:sz w:val="28"/>
        </w:rPr>
        <w:t xml:space="preserve">
      7)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9)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w:t>
      </w:r>
      <w:r>
        <w:br/>
      </w:r>
      <w:r>
        <w:rPr>
          <w:rFonts w:ascii="Times New Roman"/>
          <w:b w:val="false"/>
          <w:i w:val="false"/>
          <w:color w:val="000000"/>
          <w:sz w:val="28"/>
        </w:rPr>
        <w:t>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w:t>
      </w:r>
      <w:r>
        <w:br/>
      </w:r>
      <w:r>
        <w:rPr>
          <w:rFonts w:ascii="Times New Roman"/>
          <w:b w:val="false"/>
          <w:i w:val="false"/>
          <w:color w:val="000000"/>
          <w:sz w:val="28"/>
        </w:rPr>
        <w:t xml:space="preserve">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20.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