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f516" w14:textId="8e7f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Суықсу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25/12 қаулысы. Қарағанды облысының Әділет департаментінде 2015 жылғы 22 маусымда № 3286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Суықсу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5"/>
        <w:gridCol w:w="11605"/>
      </w:tblGrid>
      <w:tr>
        <w:trPr>
          <w:trHeight w:val="30" w:hRule="atLeast"/>
        </w:trPr>
        <w:tc>
          <w:tcPr>
            <w:tcW w:w="6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 № 25/12</w:t>
            </w:r>
            <w:r>
              <w:br/>
            </w:r>
            <w:r>
              <w:rPr>
                <w:rFonts w:ascii="Times New Roman"/>
                <w:b w:val="false"/>
                <w:i w:val="false"/>
                <w:color w:val="000000"/>
                <w:sz w:val="20"/>
              </w:rPr>
              <w:t>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Суықсу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Суықсу ауылы әкімінің аппараты" мемлекеттік мекемесі (бұдан әрі – ауыл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100418, Қарағанды облысы, Бұқар жырау ауданы, Суықсу ауылы, Целинная көшесі 1 а.</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Суықсу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аппаратына кәсіпкерлік субъектілерімен ауыл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