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595f" w14:textId="5d1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4 сәуірдегі ХІІ сессиясының "Шет ауданының жерлерін аймақтарға бөлу схемасын және жер салығының ставкаларын жоғарылату (төмендету) пайыздарын бекіту туралы" № 12/118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19 наурыздағы № 28/246 шешімі. Қарағанды облысының Әділет департаментінде 2015 жылғы 10 сәуірде № 3121 болып тіркелді. Күші жойылды - Қарағанды облысы Шет аудандық мәслихатының 2018 жылғы 27 маусымдағы № 22/190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27.06.2018 № 22/190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кодексіне)"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4 сәуірдегі ХІІ-сессиясының "Шет ауданының жерлерін аймақтарға бөлу схемасын және жер салығының ставкаларын жоғарылату (төмендету) пайыздарын бекіту турлы" № 12/118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2328 болып тіркелген, 2013 жылғы 16 мамырдағы № 20 (10 433) "Шет Шұғыласы" газетінде жарияланған), келесі өзгеріс енгізілісін: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(паркингке), автомобильге май құю станцияларына бөлінген (бөліп шығарылған) жерлерді қоспағанда, жер салығының ставкаларын жоғарылату (төмендету) пайыздары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