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ebe7" w14:textId="bbce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әкімдігінің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2015 жылғы 09 маусымдағы № 143-қ қаулысы. Қызылорда облысының Әділет департаментінде 2015 жылғы 22 маусымда № 5028 болып тіркелді. Күші жойылды - Қызылорда облысы Арал ауданы әкімдігінің 2016 жылғы 11 қаңтардағы № 4-қ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ауданы әкімдігінің 11.01.2016 </w:t>
      </w:r>
      <w:r>
        <w:rPr>
          <w:rFonts w:ascii="Times New Roman"/>
          <w:b w:val="false"/>
          <w:i w:val="false"/>
          <w:color w:val="ff0000"/>
          <w:sz w:val="28"/>
        </w:rPr>
        <w:t>№ 4-қ</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Жарлығына сәйкес Арал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w:t>
      </w:r>
      <w:r>
        <w:rPr>
          <w:rFonts w:ascii="Times New Roman"/>
          <w:b w:val="false"/>
          <w:i w:val="false"/>
          <w:color w:val="000000"/>
          <w:sz w:val="28"/>
        </w:rPr>
        <w:t>Арал ауданы әкімдігінің "Б" корпусы мемлекеттік әкімшілік қызметшілерінің қызметін жыл сайынғы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Аудандық бюджеттен қаржыландырылатын атқарушы органдар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"Арал ауданы әкімінің аппараты" мемлекеттік мекемесінің басшысы Ж.Н. Әлішеваға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 ауданы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2015 жылғы 09 маусымдағы</w:t>
            </w:r>
            <w:r>
              <w:br/>
            </w:r>
            <w:r>
              <w:rPr>
                <w:rFonts w:ascii="Times New Roman"/>
                <w:b w:val="false"/>
                <w:i w:val="false"/>
                <w:color w:val="000000"/>
                <w:sz w:val="20"/>
              </w:rPr>
              <w:t>№ 143-қ қаулысымен бекітілген</w:t>
            </w:r>
          </w:p>
        </w:tc>
      </w:tr>
    </w:tbl>
    <w:bookmarkStart w:name="z11" w:id="0"/>
    <w:p>
      <w:pPr>
        <w:spacing w:after="0"/>
        <w:ind w:left="0"/>
        <w:jc w:val="left"/>
      </w:pPr>
      <w:r>
        <w:rPr>
          <w:rFonts w:ascii="Times New Roman"/>
          <w:b/>
          <w:i w:val="false"/>
          <w:color w:val="000000"/>
        </w:rPr>
        <w:t xml:space="preserve"> Арал ауданы әкімдігінің “Б” корпусы мемлекеттік әкімшілік қызметшілерінің қызметін жыл сайынғы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Арал ауданы әкімдігінің “Б” корпусы мемлекеттік әкімшілік қызметшілерінің қызметін жыл сайынғы бағалаудың әдістемесі (бұдан әрі - Әдістеме)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 86</w:t>
      </w:r>
      <w:r>
        <w:rPr>
          <w:rFonts w:ascii="Times New Roman"/>
          <w:b w:val="false"/>
          <w:i w:val="false"/>
          <w:color w:val="000000"/>
          <w:sz w:val="28"/>
        </w:rPr>
        <w:t xml:space="preserve"> бұйрығына (нормативтік құқықтық актілердің мемлекеттік тіркеу Тізілімінде № 10130 тіркелген) сәйкес әзірленді және Арал ауданы әкімдігінің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Аудан бюджетінен қаржыландырылатын атқарушы органдардың басшылары мен кент, ауылдық округ әкімдері үшін бағалау Арал ауданының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Арал ауданының әкімі құрады.</w:t>
      </w:r>
      <w:r>
        <w:br/>
      </w:r>
      <w:r>
        <w:rPr>
          <w:rFonts w:ascii="Times New Roman"/>
          <w:b w:val="false"/>
          <w:i w:val="false"/>
          <w:color w:val="000000"/>
          <w:sz w:val="28"/>
        </w:rPr>
        <w:t>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Арал ауданы әкімінің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 бойынша тікелей басшысының бағалау парағын персоналды басқару қызметінен алған күнінен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тұлғалармен толтырылған бағалау парағы оларды алған күнінен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b - тікелей басшының бағасы, </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rPr>
          <w:rFonts w:ascii="Times New Roman"/>
          <w:b/>
          <w:i w:val="false"/>
          <w:color w:val="000000"/>
          <w:sz w:val="28"/>
        </w:rPr>
        <w:t>.</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бекіту;</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персоналды басқару қызметі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xml:space="preserve">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күнінен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453"/>
        <w:gridCol w:w="1810"/>
        <w:gridCol w:w="1816"/>
        <w:gridCol w:w="6099"/>
        <w:gridCol w:w="26"/>
        <w:gridCol w:w="27"/>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(тегі, аты,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583"/>
        <w:gridCol w:w="5250"/>
        <w:gridCol w:w="1917"/>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4763"/>
        <w:gridCol w:w="2295"/>
        <w:gridCol w:w="1473"/>
        <w:gridCol w:w="1474"/>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w:t>
            </w:r>
            <w:r>
              <w:br/>
            </w:r>
            <w:r>
              <w:rPr>
                <w:rFonts w:ascii="Times New Roman"/>
                <w:b w:val="false"/>
                <w:i w:val="false"/>
                <w:color w:val="000000"/>
                <w:sz w:val="20"/>
              </w:rPr>
              <w:t>
тегі, аты, әкесінің аты</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 Күні: _____________________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 Күні: ____________________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