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de75" w14:textId="835d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жұмыспен қамту, әлеуметтік бағдарламалар және азаматтық хал актілерін тіркеу бөлімі" коммуналдық мемлекеттік мекемесінің Ережесін бекіту туралы" Жалағаш ауданы әкімдігінің 2015 жылғы 30 қаңтардағы № 10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01 қазандағы № 207 қаулысы. Қызылорда облысының Әділет департаментінде 2015 жылғы 15 қазанда № 5179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“Жалағаш аудандық жұмыспен қамту, әлеуметтік бағдарламалар және азаматтық хал актілерін тіркеу бөлімі” коммуналдық мемлекеттік мекемесінің Ережесін бекіту туралы” Жалағаш ауданы әкімдігінің 2015 жылғы 30 қаңтардағы </w:t>
      </w:r>
      <w:r>
        <w:rPr>
          <w:rFonts w:ascii="Times New Roman"/>
          <w:b w:val="false"/>
          <w:i w:val="false"/>
          <w:color w:val="000000"/>
          <w:sz w:val="28"/>
        </w:rPr>
        <w:t>№ 10</w:t>
      </w:r>
      <w:r>
        <w:rPr>
          <w:rFonts w:ascii="Times New Roman"/>
          <w:b w:val="false"/>
          <w:i w:val="false"/>
          <w:color w:val="000000"/>
          <w:sz w:val="28"/>
        </w:rPr>
        <w:t xml:space="preserve"> қаулысына (нормативтік құқықтық актілерді мемлекеттік тіркеу Тізілімінде № 4856 болып тіркелген, “Әділет” құқықтық-ақпарат жүйесінде 2015 жылғы 23 ақпанда, “Жалағаш жаршысы” газетінде 2015 жылғы 25 ақпанда жарияланған) 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“Жалағаш аудандық жұмыспен қамту, әлеуметтік бағдарламалар және азаматтық хал актілерін тіркеу бөлімі” коммуналдық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Бөлімнің қызметін ұйымдастыру” деген бөлімде: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“10-1)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бірлестіктерінің және Қазақстан Республикасы мүгедектерінің қоғамдық бірлестіктері құрған ұйымдардың тізбесіне енген ұйымдардан мемлекеттік сатып алу заңнамасына сәйкес мемлекеттік сатып алуға жауапты болады; ”.</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