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4f2" w14:textId="a82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11 наурыздағы № 19/210 "Мұнайлы ауданында бейбіт жиналыстар, митингілер, шерулер, пикеттер мен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03 шілдедегі № 33/348 шешімі. Маңғыстау облысы Әділет департаментінде 2015 жылғы 07 тамызда № 2800 болып тіркелді. Күші жойылды-Маңғыстау облысы Мұнайлы аудандық мәслихатының 2016 жылғы 21 қазандағы № 4/76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Мұнайлы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4/76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бейбіт жиналыстар, митингілер, шерулер, пикеттер және демонстрациялар ұйымдастыру мен өткізу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17 наурыздағы Қазақстан Республикасының Заңдарына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19/210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ауданында 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2400 болып тіркелген, "Мұнайлы" газетінде 2014 жылғы 23 мамырда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ауданында бейбіт жиналыстар, митингілер, шерулер, пикеттер және демонстрациялар өткізу үшін мынадай орындар реттелсін: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Маңғыстау ауылындағы Мұнайлы ауданы әкімдігі ғимаратының жанындағы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аудандық мәдениет, дене шынықтыру және спорт бөлімінің "Қызылтөбе ауылдық мәдениет үйі" мемлекеттік коммуналдық қазыналық кәсіпорнының ғимараты.".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Ю.Нокеров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